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B2F9B" w14:textId="77777777" w:rsidR="00411A64" w:rsidRDefault="00411A64" w:rsidP="00411A64">
      <w:pPr>
        <w:ind w:left="-540"/>
        <w:rPr>
          <w:noProof/>
          <w:lang w:val="en-US"/>
        </w:rPr>
      </w:pPr>
      <w:r>
        <w:rPr>
          <w:noProof/>
          <w:lang w:eastAsia="en-AU"/>
        </w:rPr>
        <mc:AlternateContent>
          <mc:Choice Requires="wps">
            <w:drawing>
              <wp:anchor distT="0" distB="0" distL="114300" distR="114300" simplePos="0" relativeHeight="251659264" behindDoc="0" locked="0" layoutInCell="1" allowOverlap="1" wp14:anchorId="73F6A85C" wp14:editId="58A5D18C">
                <wp:simplePos x="0" y="0"/>
                <wp:positionH relativeFrom="column">
                  <wp:posOffset>4783455</wp:posOffset>
                </wp:positionH>
                <wp:positionV relativeFrom="paragraph">
                  <wp:posOffset>-76200</wp:posOffset>
                </wp:positionV>
                <wp:extent cx="1693545" cy="2019300"/>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CEA28" w14:textId="77777777" w:rsidR="00411A64" w:rsidRPr="0073643E" w:rsidRDefault="00411A64" w:rsidP="00411A64">
                            <w:pPr>
                              <w:jc w:val="right"/>
                              <w:rPr>
                                <w:sz w:val="16"/>
                              </w:rPr>
                            </w:pPr>
                          </w:p>
                          <w:p w14:paraId="01FFF6EC" w14:textId="77777777" w:rsidR="00411A64" w:rsidRPr="008573DE" w:rsidRDefault="00411A64" w:rsidP="00411A64">
                            <w:pPr>
                              <w:jc w:val="right"/>
                              <w:rPr>
                                <w:sz w:val="16"/>
                                <w:szCs w:val="16"/>
                              </w:rPr>
                            </w:pPr>
                          </w:p>
                          <w:p w14:paraId="53B06EE9" w14:textId="77777777" w:rsidR="00411A64" w:rsidRPr="008573DE" w:rsidRDefault="00411A64" w:rsidP="00411A64">
                            <w:pPr>
                              <w:jc w:val="right"/>
                              <w:rPr>
                                <w:sz w:val="16"/>
                                <w:szCs w:val="16"/>
                              </w:rPr>
                            </w:pPr>
                            <w:r w:rsidRPr="008573DE">
                              <w:rPr>
                                <w:sz w:val="16"/>
                                <w:szCs w:val="16"/>
                              </w:rPr>
                              <w:t>Telephone: (675) 321-2466</w:t>
                            </w:r>
                          </w:p>
                          <w:p w14:paraId="329BBCCF" w14:textId="77777777" w:rsidR="00411A64" w:rsidRPr="008573DE" w:rsidRDefault="00411A64" w:rsidP="00411A64">
                            <w:pPr>
                              <w:jc w:val="right"/>
                              <w:rPr>
                                <w:sz w:val="16"/>
                                <w:szCs w:val="16"/>
                              </w:rPr>
                            </w:pPr>
                            <w:r w:rsidRPr="008573DE">
                              <w:rPr>
                                <w:sz w:val="16"/>
                                <w:szCs w:val="16"/>
                              </w:rPr>
                              <w:t>(675) 320-1988</w:t>
                            </w:r>
                          </w:p>
                          <w:p w14:paraId="1BA72BB7" w14:textId="77777777" w:rsidR="00411A64" w:rsidRPr="008573DE" w:rsidRDefault="00411A64" w:rsidP="00411A64">
                            <w:pPr>
                              <w:jc w:val="right"/>
                              <w:rPr>
                                <w:sz w:val="16"/>
                                <w:szCs w:val="16"/>
                              </w:rPr>
                            </w:pPr>
                            <w:r w:rsidRPr="008573DE">
                              <w:rPr>
                                <w:sz w:val="16"/>
                                <w:szCs w:val="16"/>
                              </w:rPr>
                              <w:t>Facsimile: (675) 321-7548</w:t>
                            </w:r>
                          </w:p>
                          <w:p w14:paraId="7744CF23" w14:textId="77777777" w:rsidR="00411A64" w:rsidRPr="008573DE" w:rsidRDefault="00411A64" w:rsidP="00411A64">
                            <w:pPr>
                              <w:jc w:val="right"/>
                              <w:rPr>
                                <w:sz w:val="16"/>
                                <w:szCs w:val="16"/>
                              </w:rPr>
                            </w:pPr>
                            <w:r w:rsidRPr="008573DE">
                              <w:rPr>
                                <w:sz w:val="16"/>
                                <w:szCs w:val="16"/>
                              </w:rPr>
                              <w:t>(675) 320-1989</w:t>
                            </w:r>
                          </w:p>
                          <w:p w14:paraId="25CB72BE" w14:textId="77777777" w:rsidR="00411A64" w:rsidRPr="008573DE" w:rsidRDefault="00411A64" w:rsidP="00411A64">
                            <w:pPr>
                              <w:jc w:val="right"/>
                              <w:rPr>
                                <w:sz w:val="16"/>
                                <w:szCs w:val="16"/>
                              </w:rPr>
                            </w:pPr>
                          </w:p>
                          <w:p w14:paraId="08FDB4C6" w14:textId="77777777" w:rsidR="00411A64" w:rsidRPr="008573DE" w:rsidRDefault="00411A64" w:rsidP="00411A64">
                            <w:pPr>
                              <w:jc w:val="right"/>
                              <w:rPr>
                                <w:sz w:val="16"/>
                                <w:szCs w:val="16"/>
                              </w:rPr>
                            </w:pPr>
                            <w:r w:rsidRPr="008573DE">
                              <w:rPr>
                                <w:sz w:val="16"/>
                                <w:szCs w:val="16"/>
                              </w:rPr>
                              <w:t>5</w:t>
                            </w:r>
                            <w:r w:rsidRPr="008573DE">
                              <w:rPr>
                                <w:sz w:val="16"/>
                                <w:szCs w:val="16"/>
                                <w:vertAlign w:val="superscript"/>
                              </w:rPr>
                              <w:t>th</w:t>
                            </w:r>
                            <w:r w:rsidRPr="008573DE">
                              <w:rPr>
                                <w:sz w:val="16"/>
                                <w:szCs w:val="16"/>
                              </w:rPr>
                              <w:t xml:space="preserve"> Flr, Defens Haus,</w:t>
                            </w:r>
                          </w:p>
                          <w:p w14:paraId="080CC9EE" w14:textId="77777777" w:rsidR="00411A64" w:rsidRPr="008573DE" w:rsidRDefault="00411A64" w:rsidP="00411A64">
                            <w:pPr>
                              <w:jc w:val="right"/>
                              <w:rPr>
                                <w:sz w:val="16"/>
                                <w:szCs w:val="16"/>
                              </w:rPr>
                            </w:pPr>
                            <w:r w:rsidRPr="008573DE">
                              <w:rPr>
                                <w:sz w:val="16"/>
                                <w:szCs w:val="16"/>
                              </w:rPr>
                              <w:t xml:space="preserve">Cnr Champion Pde &amp; </w:t>
                            </w:r>
                            <w:smartTag w:uri="urn:schemas-microsoft-com:office:smarttags" w:element="Street">
                              <w:smartTag w:uri="urn:schemas-microsoft-com:office:smarttags" w:element="address">
                                <w:r w:rsidRPr="008573DE">
                                  <w:rPr>
                                    <w:sz w:val="16"/>
                                    <w:szCs w:val="16"/>
                                  </w:rPr>
                                  <w:t>Hunter St</w:t>
                                </w:r>
                              </w:smartTag>
                            </w:smartTag>
                            <w:r w:rsidRPr="008573DE">
                              <w:rPr>
                                <w:sz w:val="16"/>
                                <w:szCs w:val="16"/>
                              </w:rPr>
                              <w:t>,</w:t>
                            </w:r>
                          </w:p>
                          <w:p w14:paraId="6DAB5333" w14:textId="77777777" w:rsidR="00411A64" w:rsidRPr="008573DE" w:rsidRDefault="00411A64" w:rsidP="00411A64">
                            <w:pPr>
                              <w:jc w:val="right"/>
                              <w:rPr>
                                <w:sz w:val="16"/>
                                <w:szCs w:val="16"/>
                              </w:rPr>
                            </w:pPr>
                            <w:smartTag w:uri="urn:schemas-microsoft-com:office:smarttags" w:element="City">
                              <w:smartTag w:uri="urn:schemas-microsoft-com:office:smarttags" w:element="place">
                                <w:r w:rsidRPr="008573DE">
                                  <w:rPr>
                                    <w:sz w:val="16"/>
                                    <w:szCs w:val="16"/>
                                  </w:rPr>
                                  <w:t>Port Moresby</w:t>
                                </w:r>
                              </w:smartTag>
                            </w:smartTag>
                            <w:r w:rsidRPr="008573DE">
                              <w:rPr>
                                <w:sz w:val="16"/>
                                <w:szCs w:val="16"/>
                              </w:rPr>
                              <w:t>, NCD</w:t>
                            </w:r>
                          </w:p>
                          <w:p w14:paraId="60A3BE04" w14:textId="77777777" w:rsidR="00411A64" w:rsidRPr="008573DE" w:rsidRDefault="00411A64" w:rsidP="00411A64">
                            <w:pPr>
                              <w:jc w:val="right"/>
                              <w:rPr>
                                <w:sz w:val="16"/>
                                <w:szCs w:val="16"/>
                              </w:rPr>
                            </w:pPr>
                          </w:p>
                          <w:p w14:paraId="04BD8E47" w14:textId="77777777" w:rsidR="00411A64" w:rsidRPr="008573DE" w:rsidRDefault="00411A64" w:rsidP="00411A64">
                            <w:pPr>
                              <w:jc w:val="right"/>
                              <w:rPr>
                                <w:sz w:val="16"/>
                                <w:szCs w:val="16"/>
                              </w:rPr>
                            </w:pPr>
                            <w:smartTag w:uri="urn:schemas-microsoft-com:office:smarttags" w:element="address">
                              <w:smartTag w:uri="urn:schemas-microsoft-com:office:smarttags" w:element="Street">
                                <w:r w:rsidRPr="008573DE">
                                  <w:rPr>
                                    <w:sz w:val="16"/>
                                    <w:szCs w:val="16"/>
                                  </w:rPr>
                                  <w:t>PO Box 1829</w:t>
                                </w:r>
                              </w:smartTag>
                              <w:r w:rsidRPr="008573DE">
                                <w:rPr>
                                  <w:sz w:val="16"/>
                                  <w:szCs w:val="16"/>
                                </w:rPr>
                                <w:t xml:space="preserve">, </w:t>
                              </w:r>
                              <w:smartTag w:uri="urn:schemas-microsoft-com:office:smarttags" w:element="City">
                                <w:r w:rsidRPr="008573DE">
                                  <w:rPr>
                                    <w:sz w:val="16"/>
                                    <w:szCs w:val="16"/>
                                  </w:rPr>
                                  <w:t>Port Moresby</w:t>
                                </w:r>
                              </w:smartTag>
                            </w:smartTag>
                          </w:p>
                          <w:p w14:paraId="7707DFB4" w14:textId="77777777" w:rsidR="00411A64" w:rsidRPr="008573DE" w:rsidRDefault="00411A64" w:rsidP="00411A64">
                            <w:pPr>
                              <w:jc w:val="right"/>
                              <w:rPr>
                                <w:sz w:val="16"/>
                                <w:szCs w:val="16"/>
                              </w:rPr>
                            </w:pPr>
                            <w:r w:rsidRPr="008573DE">
                              <w:rPr>
                                <w:sz w:val="16"/>
                                <w:szCs w:val="16"/>
                              </w:rPr>
                              <w:t xml:space="preserve">PAPUA NEW </w:t>
                            </w:r>
                            <w:smartTag w:uri="urn:schemas-microsoft-com:office:smarttags" w:element="country-region">
                              <w:smartTag w:uri="urn:schemas-microsoft-com:office:smarttags" w:element="place">
                                <w:r w:rsidRPr="008573DE">
                                  <w:rPr>
                                    <w:sz w:val="16"/>
                                    <w:szCs w:val="16"/>
                                  </w:rPr>
                                  <w:t>GUINEA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F6A85C" id="_x0000_t202" coordsize="21600,21600" o:spt="202" path="m,l,21600r21600,l21600,xe">
                <v:stroke joinstyle="miter"/>
                <v:path gradientshapeok="t" o:connecttype="rect"/>
              </v:shapetype>
              <v:shape id="Text Box 2" o:spid="_x0000_s1026" type="#_x0000_t202" style="position:absolute;left:0;text-align:left;margin-left:376.65pt;margin-top:-6pt;width:133.3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2k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" filled="f" stroked="f">
                <v:textbox>
                  <w:txbxContent>
                    <w:p w14:paraId="5D8CEA28" w14:textId="77777777" w:rsidR="00411A64" w:rsidRPr="0073643E" w:rsidRDefault="00411A64" w:rsidP="00411A64">
                      <w:pPr>
                        <w:jc w:val="right"/>
                        <w:rPr>
                          <w:sz w:val="16"/>
                        </w:rPr>
                      </w:pPr>
                    </w:p>
                    <w:p w14:paraId="01FFF6EC" w14:textId="77777777" w:rsidR="00411A64" w:rsidRPr="008573DE" w:rsidRDefault="00411A64" w:rsidP="00411A64">
                      <w:pPr>
                        <w:jc w:val="right"/>
                        <w:rPr>
                          <w:sz w:val="16"/>
                          <w:szCs w:val="16"/>
                        </w:rPr>
                      </w:pPr>
                    </w:p>
                    <w:p w14:paraId="53B06EE9" w14:textId="77777777" w:rsidR="00411A64" w:rsidRPr="008573DE" w:rsidRDefault="00411A64" w:rsidP="00411A64">
                      <w:pPr>
                        <w:jc w:val="right"/>
                        <w:rPr>
                          <w:sz w:val="16"/>
                          <w:szCs w:val="16"/>
                        </w:rPr>
                      </w:pPr>
                      <w:r w:rsidRPr="008573DE">
                        <w:rPr>
                          <w:sz w:val="16"/>
                          <w:szCs w:val="16"/>
                        </w:rPr>
                        <w:t>Telephone: (675) 321-2466</w:t>
                      </w:r>
                    </w:p>
                    <w:p w14:paraId="329BBCCF" w14:textId="77777777" w:rsidR="00411A64" w:rsidRPr="008573DE" w:rsidRDefault="00411A64" w:rsidP="00411A64">
                      <w:pPr>
                        <w:jc w:val="right"/>
                        <w:rPr>
                          <w:sz w:val="16"/>
                          <w:szCs w:val="16"/>
                        </w:rPr>
                      </w:pPr>
                      <w:r w:rsidRPr="008573DE">
                        <w:rPr>
                          <w:sz w:val="16"/>
                          <w:szCs w:val="16"/>
                        </w:rPr>
                        <w:t>(675) 320-1988</w:t>
                      </w:r>
                    </w:p>
                    <w:p w14:paraId="1BA72BB7" w14:textId="77777777" w:rsidR="00411A64" w:rsidRPr="008573DE" w:rsidRDefault="00411A64" w:rsidP="00411A64">
                      <w:pPr>
                        <w:jc w:val="right"/>
                        <w:rPr>
                          <w:sz w:val="16"/>
                          <w:szCs w:val="16"/>
                        </w:rPr>
                      </w:pPr>
                      <w:r w:rsidRPr="008573DE">
                        <w:rPr>
                          <w:sz w:val="16"/>
                          <w:szCs w:val="16"/>
                        </w:rPr>
                        <w:t>Facsimile: (675) 321-7548</w:t>
                      </w:r>
                    </w:p>
                    <w:p w14:paraId="7744CF23" w14:textId="77777777" w:rsidR="00411A64" w:rsidRPr="008573DE" w:rsidRDefault="00411A64" w:rsidP="00411A64">
                      <w:pPr>
                        <w:jc w:val="right"/>
                        <w:rPr>
                          <w:sz w:val="16"/>
                          <w:szCs w:val="16"/>
                        </w:rPr>
                      </w:pPr>
                      <w:r w:rsidRPr="008573DE">
                        <w:rPr>
                          <w:sz w:val="16"/>
                          <w:szCs w:val="16"/>
                        </w:rPr>
                        <w:t>(675) 320-1989</w:t>
                      </w:r>
                    </w:p>
                    <w:p w14:paraId="25CB72BE" w14:textId="77777777" w:rsidR="00411A64" w:rsidRPr="008573DE" w:rsidRDefault="00411A64" w:rsidP="00411A64">
                      <w:pPr>
                        <w:jc w:val="right"/>
                        <w:rPr>
                          <w:sz w:val="16"/>
                          <w:szCs w:val="16"/>
                        </w:rPr>
                      </w:pPr>
                    </w:p>
                    <w:p w14:paraId="08FDB4C6" w14:textId="77777777" w:rsidR="00411A64" w:rsidRPr="008573DE" w:rsidRDefault="00411A64" w:rsidP="00411A64">
                      <w:pPr>
                        <w:jc w:val="right"/>
                        <w:rPr>
                          <w:sz w:val="16"/>
                          <w:szCs w:val="16"/>
                        </w:rPr>
                      </w:pPr>
                      <w:r w:rsidRPr="008573DE">
                        <w:rPr>
                          <w:sz w:val="16"/>
                          <w:szCs w:val="16"/>
                        </w:rPr>
                        <w:t>5</w:t>
                      </w:r>
                      <w:r w:rsidRPr="008573DE">
                        <w:rPr>
                          <w:sz w:val="16"/>
                          <w:szCs w:val="16"/>
                          <w:vertAlign w:val="superscript"/>
                        </w:rPr>
                        <w:t>th</w:t>
                      </w:r>
                      <w:r w:rsidRPr="008573DE">
                        <w:rPr>
                          <w:sz w:val="16"/>
                          <w:szCs w:val="16"/>
                        </w:rPr>
                        <w:t xml:space="preserve"> Flr, Defens Haus,</w:t>
                      </w:r>
                    </w:p>
                    <w:p w14:paraId="080CC9EE" w14:textId="77777777" w:rsidR="00411A64" w:rsidRPr="008573DE" w:rsidRDefault="00411A64" w:rsidP="00411A64">
                      <w:pPr>
                        <w:jc w:val="right"/>
                        <w:rPr>
                          <w:sz w:val="16"/>
                          <w:szCs w:val="16"/>
                        </w:rPr>
                      </w:pPr>
                      <w:r w:rsidRPr="008573DE">
                        <w:rPr>
                          <w:sz w:val="16"/>
                          <w:szCs w:val="16"/>
                        </w:rPr>
                        <w:t xml:space="preserve">Cnr Champion Pde &amp; </w:t>
                      </w:r>
                      <w:smartTag w:uri="urn:schemas-microsoft-com:office:smarttags" w:element="Street">
                        <w:smartTag w:uri="urn:schemas-microsoft-com:office:smarttags" w:element="address">
                          <w:r w:rsidRPr="008573DE">
                            <w:rPr>
                              <w:sz w:val="16"/>
                              <w:szCs w:val="16"/>
                            </w:rPr>
                            <w:t>Hunter St</w:t>
                          </w:r>
                        </w:smartTag>
                      </w:smartTag>
                      <w:r w:rsidRPr="008573DE">
                        <w:rPr>
                          <w:sz w:val="16"/>
                          <w:szCs w:val="16"/>
                        </w:rPr>
                        <w:t>,</w:t>
                      </w:r>
                    </w:p>
                    <w:p w14:paraId="6DAB5333" w14:textId="77777777" w:rsidR="00411A64" w:rsidRPr="008573DE" w:rsidRDefault="00411A64" w:rsidP="00411A64">
                      <w:pPr>
                        <w:jc w:val="right"/>
                        <w:rPr>
                          <w:sz w:val="16"/>
                          <w:szCs w:val="16"/>
                        </w:rPr>
                      </w:pPr>
                      <w:smartTag w:uri="urn:schemas-microsoft-com:office:smarttags" w:element="City">
                        <w:smartTag w:uri="urn:schemas-microsoft-com:office:smarttags" w:element="place">
                          <w:r w:rsidRPr="008573DE">
                            <w:rPr>
                              <w:sz w:val="16"/>
                              <w:szCs w:val="16"/>
                            </w:rPr>
                            <w:t>Port Moresby</w:t>
                          </w:r>
                        </w:smartTag>
                      </w:smartTag>
                      <w:r w:rsidRPr="008573DE">
                        <w:rPr>
                          <w:sz w:val="16"/>
                          <w:szCs w:val="16"/>
                        </w:rPr>
                        <w:t>, NCD</w:t>
                      </w:r>
                    </w:p>
                    <w:p w14:paraId="60A3BE04" w14:textId="77777777" w:rsidR="00411A64" w:rsidRPr="008573DE" w:rsidRDefault="00411A64" w:rsidP="00411A64">
                      <w:pPr>
                        <w:jc w:val="right"/>
                        <w:rPr>
                          <w:sz w:val="16"/>
                          <w:szCs w:val="16"/>
                        </w:rPr>
                      </w:pPr>
                    </w:p>
                    <w:p w14:paraId="04BD8E47" w14:textId="77777777" w:rsidR="00411A64" w:rsidRPr="008573DE" w:rsidRDefault="00411A64" w:rsidP="00411A64">
                      <w:pPr>
                        <w:jc w:val="right"/>
                        <w:rPr>
                          <w:sz w:val="16"/>
                          <w:szCs w:val="16"/>
                        </w:rPr>
                      </w:pPr>
                      <w:smartTag w:uri="urn:schemas-microsoft-com:office:smarttags" w:element="address">
                        <w:smartTag w:uri="urn:schemas-microsoft-com:office:smarttags" w:element="Street">
                          <w:r w:rsidRPr="008573DE">
                            <w:rPr>
                              <w:sz w:val="16"/>
                              <w:szCs w:val="16"/>
                            </w:rPr>
                            <w:t>PO Box 1829</w:t>
                          </w:r>
                        </w:smartTag>
                        <w:r w:rsidRPr="008573DE">
                          <w:rPr>
                            <w:sz w:val="16"/>
                            <w:szCs w:val="16"/>
                          </w:rPr>
                          <w:t xml:space="preserve">, </w:t>
                        </w:r>
                        <w:smartTag w:uri="urn:schemas-microsoft-com:office:smarttags" w:element="City">
                          <w:r w:rsidRPr="008573DE">
                            <w:rPr>
                              <w:sz w:val="16"/>
                              <w:szCs w:val="16"/>
                            </w:rPr>
                            <w:t>Port Moresby</w:t>
                          </w:r>
                        </w:smartTag>
                      </w:smartTag>
                    </w:p>
                    <w:p w14:paraId="7707DFB4" w14:textId="77777777" w:rsidR="00411A64" w:rsidRPr="008573DE" w:rsidRDefault="00411A64" w:rsidP="00411A64">
                      <w:pPr>
                        <w:jc w:val="right"/>
                        <w:rPr>
                          <w:sz w:val="16"/>
                          <w:szCs w:val="16"/>
                        </w:rPr>
                      </w:pPr>
                      <w:r w:rsidRPr="008573DE">
                        <w:rPr>
                          <w:sz w:val="16"/>
                          <w:szCs w:val="16"/>
                        </w:rPr>
                        <w:t xml:space="preserve">PAPUA NEW </w:t>
                      </w:r>
                      <w:smartTag w:uri="urn:schemas-microsoft-com:office:smarttags" w:element="country-region">
                        <w:smartTag w:uri="urn:schemas-microsoft-com:office:smarttags" w:element="place">
                          <w:r w:rsidRPr="008573DE">
                            <w:rPr>
                              <w:sz w:val="16"/>
                              <w:szCs w:val="16"/>
                            </w:rPr>
                            <w:t>GUINEA</w:t>
                          </w:r>
                        </w:smartTag>
                      </w:smartTag>
                    </w:p>
                  </w:txbxContent>
                </v:textbox>
              </v:shape>
            </w:pict>
          </mc:Fallback>
        </mc:AlternateContent>
      </w:r>
      <w:r w:rsidRPr="004F17AA">
        <w:rPr>
          <w:noProof/>
          <w:lang w:eastAsia="en-AU"/>
        </w:rPr>
        <w:drawing>
          <wp:inline distT="0" distB="0" distL="0" distR="0" wp14:anchorId="6C64D913" wp14:editId="73E89959">
            <wp:extent cx="2243455" cy="112141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36011" t="22858" r="38019" b="59822"/>
                    <a:stretch>
                      <a:fillRect/>
                    </a:stretch>
                  </pic:blipFill>
                  <pic:spPr bwMode="auto">
                    <a:xfrm>
                      <a:off x="0" y="0"/>
                      <a:ext cx="2243455" cy="1121410"/>
                    </a:xfrm>
                    <a:prstGeom prst="rect">
                      <a:avLst/>
                    </a:prstGeom>
                    <a:noFill/>
                    <a:ln>
                      <a:noFill/>
                    </a:ln>
                  </pic:spPr>
                </pic:pic>
              </a:graphicData>
            </a:graphic>
          </wp:inline>
        </w:drawing>
      </w:r>
    </w:p>
    <w:p w14:paraId="798E207A" w14:textId="77777777" w:rsidR="00411A64" w:rsidRDefault="00411A64" w:rsidP="00411A64"/>
    <w:p w14:paraId="5C80D9FC" w14:textId="77777777" w:rsidR="00411A64" w:rsidRPr="00865957" w:rsidRDefault="00411A64" w:rsidP="00411A64">
      <w:pPr>
        <w:rPr>
          <w:sz w:val="22"/>
          <w:szCs w:val="22"/>
        </w:rPr>
      </w:pPr>
    </w:p>
    <w:p w14:paraId="56378784" w14:textId="77777777" w:rsidR="00411A64" w:rsidRPr="00865957" w:rsidRDefault="00411A64" w:rsidP="00411A64">
      <w:pPr>
        <w:rPr>
          <w:sz w:val="22"/>
          <w:szCs w:val="22"/>
        </w:rPr>
      </w:pPr>
    </w:p>
    <w:p w14:paraId="2B56AD2B" w14:textId="77777777" w:rsidR="00411A64" w:rsidRPr="00865957" w:rsidRDefault="002C554F" w:rsidP="00411A64">
      <w:pPr>
        <w:rPr>
          <w:sz w:val="22"/>
          <w:szCs w:val="22"/>
        </w:rPr>
      </w:pPr>
      <w:r>
        <w:rPr>
          <w:sz w:val="22"/>
          <w:szCs w:val="22"/>
        </w:rPr>
        <w:t>4</w:t>
      </w:r>
      <w:r w:rsidRPr="002C554F">
        <w:rPr>
          <w:sz w:val="22"/>
          <w:szCs w:val="22"/>
          <w:vertAlign w:val="superscript"/>
        </w:rPr>
        <w:t>th</w:t>
      </w:r>
      <w:r>
        <w:rPr>
          <w:sz w:val="22"/>
          <w:szCs w:val="22"/>
        </w:rPr>
        <w:t xml:space="preserve"> March</w:t>
      </w:r>
      <w:r w:rsidR="005B170A">
        <w:rPr>
          <w:sz w:val="22"/>
          <w:szCs w:val="22"/>
        </w:rPr>
        <w:t xml:space="preserve"> 201</w:t>
      </w:r>
      <w:r>
        <w:rPr>
          <w:sz w:val="22"/>
          <w:szCs w:val="22"/>
        </w:rPr>
        <w:t>9</w:t>
      </w:r>
    </w:p>
    <w:p w14:paraId="373E18C6" w14:textId="77777777" w:rsidR="00411A64" w:rsidRDefault="00411A64" w:rsidP="00411A64">
      <w:pPr>
        <w:rPr>
          <w:sz w:val="22"/>
          <w:szCs w:val="22"/>
        </w:rPr>
      </w:pPr>
    </w:p>
    <w:p w14:paraId="644928B6" w14:textId="77777777" w:rsidR="001512D9" w:rsidRDefault="001512D9" w:rsidP="00411A64">
      <w:pPr>
        <w:rPr>
          <w:sz w:val="22"/>
          <w:szCs w:val="22"/>
        </w:rPr>
      </w:pPr>
    </w:p>
    <w:p w14:paraId="65ABC494" w14:textId="77777777" w:rsidR="001512D9" w:rsidRDefault="001512D9" w:rsidP="00411A64">
      <w:pPr>
        <w:rPr>
          <w:sz w:val="22"/>
          <w:szCs w:val="22"/>
        </w:rPr>
      </w:pPr>
    </w:p>
    <w:p w14:paraId="09A14247" w14:textId="77777777" w:rsidR="00941B97" w:rsidRPr="00865957" w:rsidRDefault="00941B97" w:rsidP="00411A64">
      <w:pPr>
        <w:rPr>
          <w:sz w:val="22"/>
          <w:szCs w:val="22"/>
        </w:rPr>
      </w:pPr>
    </w:p>
    <w:p w14:paraId="0A784F79" w14:textId="77777777" w:rsidR="00411A64" w:rsidRPr="00865957" w:rsidRDefault="00411A64" w:rsidP="00411A64">
      <w:pPr>
        <w:rPr>
          <w:b/>
          <w:sz w:val="22"/>
          <w:szCs w:val="22"/>
        </w:rPr>
      </w:pPr>
      <w:r w:rsidRPr="00865957">
        <w:rPr>
          <w:b/>
          <w:sz w:val="22"/>
          <w:szCs w:val="22"/>
        </w:rPr>
        <w:t>Re:</w:t>
      </w:r>
      <w:r w:rsidRPr="00865957">
        <w:rPr>
          <w:b/>
          <w:sz w:val="22"/>
          <w:szCs w:val="22"/>
        </w:rPr>
        <w:tab/>
      </w:r>
      <w:r w:rsidR="002C554F">
        <w:rPr>
          <w:b/>
          <w:sz w:val="22"/>
          <w:szCs w:val="22"/>
        </w:rPr>
        <w:t xml:space="preserve">Doing Business in PNG and Tax Facts </w:t>
      </w:r>
    </w:p>
    <w:p w14:paraId="448D98D8" w14:textId="77777777" w:rsidR="00411A64" w:rsidRPr="00865957" w:rsidRDefault="00411A64" w:rsidP="00411A64">
      <w:pPr>
        <w:ind w:left="720"/>
        <w:rPr>
          <w:sz w:val="22"/>
          <w:szCs w:val="22"/>
        </w:rPr>
      </w:pPr>
    </w:p>
    <w:p w14:paraId="072D5FAD" w14:textId="77777777" w:rsidR="002C554F" w:rsidRDefault="002C554F" w:rsidP="00411A64">
      <w:pPr>
        <w:rPr>
          <w:color w:val="222222"/>
          <w:sz w:val="22"/>
          <w:szCs w:val="22"/>
        </w:rPr>
      </w:pPr>
    </w:p>
    <w:p w14:paraId="72BC3514" w14:textId="77777777" w:rsidR="002C554F" w:rsidRDefault="002C554F" w:rsidP="002C554F">
      <w:pPr>
        <w:pStyle w:val="ListParagraph"/>
        <w:numPr>
          <w:ilvl w:val="0"/>
          <w:numId w:val="11"/>
        </w:numPr>
        <w:rPr>
          <w:rFonts w:ascii="Arial" w:hAnsi="Arial" w:cs="Arial"/>
          <w:b/>
          <w:color w:val="222222"/>
          <w:u w:val="single"/>
        </w:rPr>
      </w:pPr>
      <w:r w:rsidRPr="002C554F">
        <w:rPr>
          <w:rFonts w:ascii="Arial" w:hAnsi="Arial" w:cs="Arial"/>
          <w:b/>
          <w:color w:val="222222"/>
          <w:u w:val="single"/>
        </w:rPr>
        <w:t>Introduction of the country and general environment of doing business</w:t>
      </w:r>
    </w:p>
    <w:p w14:paraId="394D3A2D" w14:textId="77777777" w:rsidR="002C554F" w:rsidRPr="00F655D8" w:rsidRDefault="00F655D8" w:rsidP="002C554F">
      <w:pPr>
        <w:rPr>
          <w:color w:val="222222"/>
          <w:sz w:val="22"/>
        </w:rPr>
      </w:pPr>
      <w:r w:rsidRPr="00F655D8">
        <w:rPr>
          <w:color w:val="222222"/>
          <w:sz w:val="22"/>
        </w:rPr>
        <w:t>Papua New Guinea</w:t>
      </w:r>
      <w:r>
        <w:rPr>
          <w:color w:val="222222"/>
          <w:sz w:val="22"/>
        </w:rPr>
        <w:t xml:space="preserve"> (PNG)</w:t>
      </w:r>
      <w:r w:rsidRPr="00F655D8">
        <w:rPr>
          <w:color w:val="222222"/>
          <w:sz w:val="22"/>
        </w:rPr>
        <w:t xml:space="preserve"> is an Oceanian country that occupies the eastern half of the island of New Guinea. </w:t>
      </w:r>
      <w:r>
        <w:rPr>
          <w:color w:val="222222"/>
          <w:sz w:val="22"/>
        </w:rPr>
        <w:t>PNG established its sovereignty in 1975 followed nearly 60 years of Australian administration which started during World War. It has been an independent Commonwealth realm since 1975 with Elizabeth II as its queen. PNG has 852 known languages</w:t>
      </w:r>
      <w:r w:rsidR="00B43C6D">
        <w:rPr>
          <w:color w:val="222222"/>
          <w:sz w:val="22"/>
        </w:rPr>
        <w:t xml:space="preserve"> but official languages are English and Tok Pisin.  PNG has population of 7.9 million and land area is 452,860 square km.</w:t>
      </w:r>
      <w:r>
        <w:rPr>
          <w:color w:val="222222"/>
          <w:sz w:val="22"/>
        </w:rPr>
        <w:t xml:space="preserve">  </w:t>
      </w:r>
    </w:p>
    <w:p w14:paraId="62BD9834" w14:textId="77777777" w:rsidR="00F655D8" w:rsidRDefault="00F655D8" w:rsidP="002C554F">
      <w:pPr>
        <w:rPr>
          <w:color w:val="222222"/>
        </w:rPr>
      </w:pPr>
    </w:p>
    <w:p w14:paraId="1E84E426" w14:textId="77777777" w:rsidR="00F655D8" w:rsidRDefault="00F655D8" w:rsidP="002C554F">
      <w:pPr>
        <w:rPr>
          <w:color w:val="222222"/>
        </w:rPr>
      </w:pPr>
      <w:r>
        <w:rPr>
          <w:noProof/>
          <w:lang w:eastAsia="en-AU"/>
        </w:rPr>
        <w:drawing>
          <wp:inline distT="0" distB="0" distL="0" distR="0" wp14:anchorId="3D4FD774" wp14:editId="3B095B2D">
            <wp:extent cx="6645910" cy="55010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5501005"/>
                    </a:xfrm>
                    <a:prstGeom prst="rect">
                      <a:avLst/>
                    </a:prstGeom>
                  </pic:spPr>
                </pic:pic>
              </a:graphicData>
            </a:graphic>
          </wp:inline>
        </w:drawing>
      </w:r>
    </w:p>
    <w:p w14:paraId="6B3156CD" w14:textId="77777777" w:rsidR="00F655D8" w:rsidRDefault="00F655D8" w:rsidP="002C554F">
      <w:pPr>
        <w:rPr>
          <w:color w:val="222222"/>
        </w:rPr>
      </w:pPr>
    </w:p>
    <w:p w14:paraId="5EDBDDDF" w14:textId="77777777" w:rsidR="00F655D8" w:rsidRPr="00F655D8" w:rsidRDefault="00F655D8" w:rsidP="002C554F">
      <w:pPr>
        <w:rPr>
          <w:color w:val="222222"/>
        </w:rPr>
      </w:pPr>
    </w:p>
    <w:p w14:paraId="33DBA754" w14:textId="77777777" w:rsidR="002C554F" w:rsidRPr="0042061D" w:rsidRDefault="00B43C6D" w:rsidP="00411A64">
      <w:pPr>
        <w:rPr>
          <w:color w:val="222222"/>
          <w:sz w:val="22"/>
        </w:rPr>
      </w:pPr>
      <w:r w:rsidRPr="0042061D">
        <w:rPr>
          <w:color w:val="222222"/>
          <w:sz w:val="22"/>
        </w:rPr>
        <w:t xml:space="preserve">PNG is rich in natural resources and tropical agricultural products including mineral, forests, fishery, </w:t>
      </w:r>
      <w:r w:rsidR="0042061D" w:rsidRPr="0042061D">
        <w:rPr>
          <w:color w:val="222222"/>
          <w:sz w:val="22"/>
        </w:rPr>
        <w:t xml:space="preserve">palm oil, coco, coffee bean, natural gas and oil. </w:t>
      </w:r>
      <w:r w:rsidRPr="0042061D">
        <w:rPr>
          <w:color w:val="222222"/>
          <w:sz w:val="22"/>
        </w:rPr>
        <w:t xml:space="preserve"> </w:t>
      </w:r>
      <w:r w:rsidR="002C554F" w:rsidRPr="0042061D">
        <w:rPr>
          <w:color w:val="222222"/>
          <w:sz w:val="22"/>
        </w:rPr>
        <w:t xml:space="preserve">Papua New Guinea has recorded high levels of economic growth for a number of years, mainly on the back of the PNG liquefied natural gas (LNG) project, which began production in mid-2014. </w:t>
      </w:r>
      <w:r w:rsidR="0042061D" w:rsidRPr="0042061D">
        <w:rPr>
          <w:color w:val="222222"/>
          <w:sz w:val="22"/>
        </w:rPr>
        <w:t xml:space="preserve">Economic growth slowed down significantly since 2015 due to weak demand in agricultural products, timber, minerals, oil and gas. </w:t>
      </w:r>
    </w:p>
    <w:p w14:paraId="0CAF09E6" w14:textId="77777777" w:rsidR="0042061D" w:rsidRDefault="0042061D" w:rsidP="00411A64">
      <w:pPr>
        <w:rPr>
          <w:rFonts w:ascii="Tahoma" w:hAnsi="Tahoma" w:cs="Tahoma"/>
          <w:color w:val="37424A"/>
        </w:rPr>
      </w:pPr>
    </w:p>
    <w:p w14:paraId="321B81DD" w14:textId="77777777" w:rsidR="0042061D" w:rsidRDefault="0042061D" w:rsidP="00411A64">
      <w:pPr>
        <w:rPr>
          <w:color w:val="222222"/>
          <w:sz w:val="22"/>
          <w:szCs w:val="22"/>
        </w:rPr>
      </w:pPr>
      <w:r>
        <w:rPr>
          <w:color w:val="222222"/>
          <w:sz w:val="22"/>
          <w:szCs w:val="22"/>
        </w:rPr>
        <w:t>Currently PNG’s imports are around A$3.9 billion and exports are around A$ 2.2 billion.</w:t>
      </w:r>
    </w:p>
    <w:p w14:paraId="6451D5CC" w14:textId="77777777" w:rsidR="0042061D" w:rsidRDefault="0042061D" w:rsidP="00411A64">
      <w:pPr>
        <w:rPr>
          <w:color w:val="222222"/>
          <w:sz w:val="22"/>
          <w:szCs w:val="22"/>
        </w:rPr>
      </w:pPr>
    </w:p>
    <w:p w14:paraId="3283DD22" w14:textId="77777777" w:rsidR="0042061D" w:rsidRDefault="0042061D" w:rsidP="00411A64">
      <w:pPr>
        <w:rPr>
          <w:color w:val="222222"/>
          <w:sz w:val="22"/>
          <w:szCs w:val="22"/>
        </w:rPr>
      </w:pPr>
      <w:r>
        <w:rPr>
          <w:color w:val="222222"/>
          <w:sz w:val="22"/>
          <w:szCs w:val="22"/>
        </w:rPr>
        <w:t>PNG has a ‘</w:t>
      </w:r>
      <w:proofErr w:type="spellStart"/>
      <w:r>
        <w:rPr>
          <w:color w:val="222222"/>
          <w:sz w:val="22"/>
          <w:szCs w:val="22"/>
        </w:rPr>
        <w:t>wantok</w:t>
      </w:r>
      <w:proofErr w:type="spellEnd"/>
      <w:r>
        <w:rPr>
          <w:color w:val="222222"/>
          <w:sz w:val="22"/>
          <w:szCs w:val="22"/>
        </w:rPr>
        <w:t xml:space="preserve"> system’</w:t>
      </w:r>
      <w:r w:rsidR="008E3D07">
        <w:rPr>
          <w:color w:val="222222"/>
          <w:sz w:val="22"/>
          <w:szCs w:val="22"/>
        </w:rPr>
        <w:t xml:space="preserve">. Business people like to see the same face representing a company on successive visits. Business laws are based on English legal principles, but application is less rigorous. </w:t>
      </w:r>
    </w:p>
    <w:p w14:paraId="07C73C05" w14:textId="77777777" w:rsidR="008E3D07" w:rsidRDefault="008E3D07" w:rsidP="00411A64">
      <w:pPr>
        <w:rPr>
          <w:color w:val="222222"/>
          <w:sz w:val="22"/>
          <w:szCs w:val="22"/>
        </w:rPr>
      </w:pPr>
    </w:p>
    <w:p w14:paraId="0156370E" w14:textId="34D5F7A0" w:rsidR="008E3D07" w:rsidRDefault="008E3D07" w:rsidP="00411A64">
      <w:pPr>
        <w:rPr>
          <w:color w:val="222222"/>
          <w:sz w:val="22"/>
          <w:szCs w:val="22"/>
        </w:rPr>
      </w:pPr>
      <w:r>
        <w:rPr>
          <w:color w:val="222222"/>
          <w:sz w:val="22"/>
          <w:szCs w:val="22"/>
        </w:rPr>
        <w:t xml:space="preserve">Security concerns and government corruption are main threats for doing business in PNG. </w:t>
      </w:r>
    </w:p>
    <w:p w14:paraId="0F898B39" w14:textId="2AAEB1DF" w:rsidR="004039EF" w:rsidRDefault="004039EF" w:rsidP="00411A64">
      <w:pPr>
        <w:rPr>
          <w:color w:val="222222"/>
          <w:sz w:val="22"/>
          <w:szCs w:val="22"/>
        </w:rPr>
      </w:pPr>
    </w:p>
    <w:p w14:paraId="0AEA7947" w14:textId="3A9DF642" w:rsidR="004039EF" w:rsidRDefault="004039EF" w:rsidP="00411A64">
      <w:pPr>
        <w:rPr>
          <w:color w:val="222222"/>
          <w:sz w:val="22"/>
          <w:szCs w:val="22"/>
        </w:rPr>
      </w:pPr>
      <w:r>
        <w:rPr>
          <w:color w:val="222222"/>
          <w:sz w:val="22"/>
          <w:szCs w:val="22"/>
        </w:rPr>
        <w:t xml:space="preserve">In addition, PNG has foreign exchange control in place. The Bank of Papua New Guinea imposes restriction on opening offshore bank accounts, licensing gold exports, licensing foreign exchange dealers and removing cash in excess of PGK 20,000. Repatriation payments can be made in any foreign currency. However, if the remittance exceeds PGK 500,000 or cumulative amounts of PGK 500,000 per fiscal year by a resident taxpayer, a tax clearance certificate must be obtained from the Internal Revenue Commission (IRC) before the remittance is made. </w:t>
      </w:r>
    </w:p>
    <w:p w14:paraId="638AC024" w14:textId="77777777" w:rsidR="008E3D07" w:rsidRDefault="008E3D07" w:rsidP="00411A64">
      <w:pPr>
        <w:rPr>
          <w:color w:val="222222"/>
          <w:sz w:val="22"/>
          <w:szCs w:val="22"/>
        </w:rPr>
      </w:pPr>
    </w:p>
    <w:p w14:paraId="5CFA1DCA" w14:textId="77777777" w:rsidR="008E3D07" w:rsidRDefault="008E3D07" w:rsidP="00411A64">
      <w:pPr>
        <w:rPr>
          <w:color w:val="222222"/>
          <w:sz w:val="22"/>
          <w:szCs w:val="22"/>
        </w:rPr>
      </w:pPr>
    </w:p>
    <w:p w14:paraId="0255A53B" w14:textId="77777777" w:rsidR="002C554F" w:rsidRPr="008E3D07" w:rsidRDefault="008E3D07" w:rsidP="008E3D07">
      <w:pPr>
        <w:pStyle w:val="ListParagraph"/>
        <w:numPr>
          <w:ilvl w:val="0"/>
          <w:numId w:val="11"/>
        </w:numPr>
        <w:rPr>
          <w:rFonts w:ascii="Arial" w:hAnsi="Arial" w:cs="Arial"/>
          <w:b/>
          <w:color w:val="222222"/>
          <w:u w:val="single"/>
        </w:rPr>
      </w:pPr>
      <w:r w:rsidRPr="008E3D07">
        <w:rPr>
          <w:rFonts w:ascii="Arial" w:hAnsi="Arial" w:cs="Arial"/>
          <w:b/>
          <w:color w:val="222222"/>
          <w:u w:val="single"/>
        </w:rPr>
        <w:t>Start up a business</w:t>
      </w:r>
    </w:p>
    <w:p w14:paraId="2AB0698E" w14:textId="77777777" w:rsidR="00411A64" w:rsidRPr="005C1635" w:rsidRDefault="00411A64" w:rsidP="00411A64">
      <w:pPr>
        <w:rPr>
          <w:sz w:val="22"/>
          <w:szCs w:val="22"/>
        </w:rPr>
      </w:pPr>
      <w:r w:rsidRPr="005C1635">
        <w:rPr>
          <w:sz w:val="22"/>
          <w:szCs w:val="22"/>
        </w:rPr>
        <w:t>In PNG you can operate as follows</w:t>
      </w:r>
      <w:r w:rsidR="008E3D07" w:rsidRPr="005C1635">
        <w:rPr>
          <w:sz w:val="22"/>
          <w:szCs w:val="22"/>
        </w:rPr>
        <w:t>:</w:t>
      </w:r>
    </w:p>
    <w:p w14:paraId="4CCE2B01" w14:textId="77777777" w:rsidR="00411A64" w:rsidRPr="005C1635" w:rsidRDefault="00411A64" w:rsidP="00411A64">
      <w:pPr>
        <w:ind w:left="720"/>
        <w:rPr>
          <w:sz w:val="22"/>
          <w:szCs w:val="22"/>
        </w:rPr>
      </w:pPr>
    </w:p>
    <w:p w14:paraId="74E265C4" w14:textId="34A11287" w:rsidR="00411A64" w:rsidRPr="005C1635" w:rsidRDefault="00411A64" w:rsidP="00411A64">
      <w:pPr>
        <w:pStyle w:val="ListParagraph"/>
        <w:numPr>
          <w:ilvl w:val="0"/>
          <w:numId w:val="3"/>
        </w:numPr>
        <w:spacing w:before="100" w:beforeAutospacing="1" w:after="100" w:afterAutospacing="1"/>
        <w:rPr>
          <w:rFonts w:ascii="Arial" w:hAnsi="Arial" w:cs="Arial"/>
        </w:rPr>
      </w:pPr>
      <w:r w:rsidRPr="005C1635">
        <w:rPr>
          <w:rFonts w:ascii="Arial" w:hAnsi="Arial" w:cs="Arial"/>
        </w:rPr>
        <w:t>Establish a PNG registered company</w:t>
      </w:r>
      <w:r w:rsidR="008E3D07" w:rsidRPr="005C1635">
        <w:rPr>
          <w:rFonts w:ascii="Arial" w:hAnsi="Arial" w:cs="Arial"/>
        </w:rPr>
        <w:t xml:space="preserve"> </w:t>
      </w:r>
      <w:r w:rsidR="005F3A5C" w:rsidRPr="005C1635">
        <w:rPr>
          <w:rFonts w:ascii="Arial" w:hAnsi="Arial" w:cs="Arial"/>
        </w:rPr>
        <w:t>(resident company or subsidiary)</w:t>
      </w:r>
      <w:r w:rsidR="008E3D07" w:rsidRPr="005C1635">
        <w:rPr>
          <w:rFonts w:ascii="Arial" w:hAnsi="Arial" w:cs="Arial"/>
        </w:rPr>
        <w:t xml:space="preserve"> – Tax rate 30%.</w:t>
      </w:r>
    </w:p>
    <w:p w14:paraId="2C6715F4" w14:textId="3ED50C5E" w:rsidR="00411A64" w:rsidRPr="005C1635" w:rsidRDefault="00411A64" w:rsidP="00704844">
      <w:pPr>
        <w:pStyle w:val="ListParagraph"/>
        <w:numPr>
          <w:ilvl w:val="0"/>
          <w:numId w:val="3"/>
        </w:numPr>
        <w:spacing w:before="100" w:beforeAutospacing="1" w:after="100" w:afterAutospacing="1"/>
        <w:rPr>
          <w:rFonts w:ascii="Arial" w:hAnsi="Arial" w:cs="Arial"/>
        </w:rPr>
      </w:pPr>
      <w:r w:rsidRPr="005C1635">
        <w:rPr>
          <w:rFonts w:ascii="Arial" w:eastAsia="Times New Roman" w:hAnsi="Arial" w:cs="Arial"/>
        </w:rPr>
        <w:t>Register as a Non</w:t>
      </w:r>
      <w:r w:rsidR="008E3D07" w:rsidRPr="005C1635">
        <w:rPr>
          <w:rFonts w:ascii="Arial" w:eastAsia="Times New Roman" w:hAnsi="Arial" w:cs="Arial"/>
        </w:rPr>
        <w:t>-</w:t>
      </w:r>
      <w:r w:rsidRPr="005C1635">
        <w:rPr>
          <w:rFonts w:ascii="Arial" w:eastAsia="Times New Roman" w:hAnsi="Arial" w:cs="Arial"/>
        </w:rPr>
        <w:t>resident</w:t>
      </w:r>
      <w:r w:rsidR="005C1635" w:rsidRPr="005C1635">
        <w:rPr>
          <w:rFonts w:ascii="Arial" w:eastAsia="Times New Roman" w:hAnsi="Arial" w:cs="Arial"/>
        </w:rPr>
        <w:t xml:space="preserve"> / overseas</w:t>
      </w:r>
      <w:r w:rsidRPr="005C1635">
        <w:rPr>
          <w:rFonts w:ascii="Arial" w:eastAsia="Times New Roman" w:hAnsi="Arial" w:cs="Arial"/>
        </w:rPr>
        <w:t xml:space="preserve"> company (branch operation)</w:t>
      </w:r>
      <w:r w:rsidR="008E3D07" w:rsidRPr="005C1635">
        <w:rPr>
          <w:rFonts w:ascii="Arial" w:eastAsia="Times New Roman" w:hAnsi="Arial" w:cs="Arial"/>
        </w:rPr>
        <w:t xml:space="preserve"> – Tax rate 48%</w:t>
      </w:r>
    </w:p>
    <w:p w14:paraId="09C1EDF6" w14:textId="77777777" w:rsidR="00411A64" w:rsidRPr="005C1635" w:rsidRDefault="00411A64" w:rsidP="00411A64">
      <w:pPr>
        <w:pStyle w:val="ListParagraph"/>
        <w:numPr>
          <w:ilvl w:val="0"/>
          <w:numId w:val="3"/>
        </w:numPr>
        <w:spacing w:before="100" w:beforeAutospacing="1" w:after="100" w:afterAutospacing="1"/>
        <w:rPr>
          <w:rFonts w:ascii="Arial" w:hAnsi="Arial" w:cs="Arial"/>
        </w:rPr>
      </w:pPr>
      <w:r w:rsidRPr="005C1635">
        <w:rPr>
          <w:rFonts w:ascii="Arial" w:eastAsia="Times New Roman" w:hAnsi="Arial" w:cs="Arial"/>
        </w:rPr>
        <w:t>Operate either fully or partially within PNG as a foreign contractor</w:t>
      </w:r>
      <w:r w:rsidR="008E3D07" w:rsidRPr="005C1635">
        <w:rPr>
          <w:rFonts w:ascii="Arial" w:eastAsia="Times New Roman" w:hAnsi="Arial" w:cs="Arial"/>
        </w:rPr>
        <w:t xml:space="preserve"> </w:t>
      </w:r>
      <w:r w:rsidR="005F3A5C" w:rsidRPr="005C1635">
        <w:rPr>
          <w:rFonts w:ascii="Arial" w:eastAsia="Times New Roman" w:hAnsi="Arial" w:cs="Arial"/>
        </w:rPr>
        <w:t>–</w:t>
      </w:r>
      <w:r w:rsidR="008E3D07" w:rsidRPr="005C1635">
        <w:rPr>
          <w:rFonts w:ascii="Arial" w:eastAsia="Times New Roman" w:hAnsi="Arial" w:cs="Arial"/>
        </w:rPr>
        <w:t xml:space="preserve"> </w:t>
      </w:r>
      <w:r w:rsidR="005F3A5C" w:rsidRPr="005C1635">
        <w:rPr>
          <w:rFonts w:ascii="Arial" w:eastAsia="Times New Roman" w:hAnsi="Arial" w:cs="Arial"/>
        </w:rPr>
        <w:t xml:space="preserve">Tax rate of 15% on the gross revenue. </w:t>
      </w:r>
    </w:p>
    <w:p w14:paraId="13F615E7" w14:textId="0C312F78" w:rsidR="005C1635" w:rsidRPr="005C1635" w:rsidRDefault="005C1635" w:rsidP="005C1635">
      <w:pPr>
        <w:spacing w:before="100" w:beforeAutospacing="1" w:after="100" w:afterAutospacing="1"/>
        <w:rPr>
          <w:b/>
          <w:sz w:val="22"/>
          <w:szCs w:val="22"/>
        </w:rPr>
      </w:pPr>
      <w:r w:rsidRPr="005C1635">
        <w:rPr>
          <w:b/>
          <w:sz w:val="22"/>
          <w:szCs w:val="22"/>
        </w:rPr>
        <w:t>Relevant Acts for regulations:</w:t>
      </w:r>
    </w:p>
    <w:p w14:paraId="168FB188" w14:textId="765E799C" w:rsidR="005C1635" w:rsidRPr="005C1635" w:rsidRDefault="005C1635" w:rsidP="005C1635">
      <w:pPr>
        <w:pStyle w:val="ListParagraph"/>
        <w:numPr>
          <w:ilvl w:val="0"/>
          <w:numId w:val="13"/>
        </w:numPr>
        <w:spacing w:before="100" w:beforeAutospacing="1" w:after="100" w:afterAutospacing="1"/>
        <w:rPr>
          <w:rFonts w:ascii="Arial" w:hAnsi="Arial" w:cs="Arial"/>
        </w:rPr>
      </w:pPr>
      <w:r w:rsidRPr="005C1635">
        <w:rPr>
          <w:rStyle w:val="obgcapsstart"/>
          <w:rFonts w:ascii="Arial" w:hAnsi="Arial" w:cs="Arial"/>
          <w:b/>
          <w:bCs/>
        </w:rPr>
        <w:t>Companies Act Requirements</w:t>
      </w:r>
      <w:r>
        <w:rPr>
          <w:rStyle w:val="obgcapsstart"/>
          <w:rFonts w:ascii="Arial" w:hAnsi="Arial" w:cs="Arial"/>
          <w:b/>
          <w:bCs/>
        </w:rPr>
        <w:t xml:space="preserve"> - </w:t>
      </w:r>
      <w:r w:rsidRPr="005C1635">
        <w:rPr>
          <w:rFonts w:ascii="Arial" w:hAnsi="Arial" w:cs="Arial"/>
        </w:rPr>
        <w:t>Where a company incorporated outside PNG commences to carry on business in PNG it is required within one month of commencement to register as an overseas company under the Companies Act. For the purposes of the Companies Act the term “carrying on business” is given an extended meaning but otherwise has its ordinary meaning. As a general proposition, an overseas company that enters into a contract for work to be done in PNG and undertakes work in the country for a period of more than 30 days would be regarded as carrying on business in PNG for the purposes of the Companies Act.</w:t>
      </w:r>
    </w:p>
    <w:p w14:paraId="216C49E3" w14:textId="77777777" w:rsidR="005C1635" w:rsidRPr="005C1635" w:rsidRDefault="005C1635" w:rsidP="005C1635">
      <w:pPr>
        <w:pStyle w:val="ListParagraph"/>
        <w:spacing w:before="100" w:beforeAutospacing="1" w:after="100" w:afterAutospacing="1"/>
        <w:rPr>
          <w:rFonts w:ascii="Arial" w:hAnsi="Arial" w:cs="Arial"/>
        </w:rPr>
      </w:pPr>
    </w:p>
    <w:p w14:paraId="057D7737" w14:textId="01B923EC" w:rsidR="005C1635" w:rsidRPr="005C1635" w:rsidRDefault="005C1635" w:rsidP="005C1635">
      <w:pPr>
        <w:pStyle w:val="obgpara"/>
        <w:numPr>
          <w:ilvl w:val="0"/>
          <w:numId w:val="13"/>
        </w:numPr>
        <w:spacing w:before="0" w:beforeAutospacing="0" w:after="330" w:afterAutospacing="0"/>
        <w:rPr>
          <w:rFonts w:ascii="Arial" w:hAnsi="Arial" w:cs="Arial"/>
          <w:sz w:val="22"/>
          <w:szCs w:val="22"/>
        </w:rPr>
      </w:pPr>
      <w:r w:rsidRPr="005C1635">
        <w:rPr>
          <w:rStyle w:val="obgcapsstart"/>
          <w:rFonts w:ascii="Arial" w:hAnsi="Arial" w:cs="Arial"/>
          <w:b/>
          <w:bCs/>
          <w:sz w:val="22"/>
          <w:szCs w:val="22"/>
        </w:rPr>
        <w:t>Investment Promotion Act</w:t>
      </w:r>
      <w:r w:rsidRPr="005C1635">
        <w:rPr>
          <w:rFonts w:ascii="Arial" w:hAnsi="Arial" w:cs="Arial"/>
          <w:sz w:val="22"/>
          <w:szCs w:val="22"/>
        </w:rPr>
        <w:t xml:space="preserve"> - Companies with foreign shareholdings of 50% or more (held or controlled by non-citizens of PNG) are required to be certified by the Investment Promotion Authority (IPA) before they can carry on business in PNG. The meaning of carrying on business for the purposes of the Investment Promotion Act, so far as is relevant, is identical to the meaning of carrying on business for the purposes of the Companies Act. It follows that this requirement applies whether an overseas company intends to carry on business in PNG through a subsidiary or through a branch.</w:t>
      </w:r>
    </w:p>
    <w:p w14:paraId="791617DF" w14:textId="35449233" w:rsidR="005C1635" w:rsidRDefault="005C1635" w:rsidP="005F3A5C">
      <w:pPr>
        <w:spacing w:before="100" w:beforeAutospacing="1" w:after="100" w:afterAutospacing="1"/>
        <w:rPr>
          <w:color w:val="222222"/>
        </w:rPr>
      </w:pPr>
    </w:p>
    <w:p w14:paraId="22A98512" w14:textId="5C62D582" w:rsidR="00B3371D" w:rsidRDefault="00B3371D" w:rsidP="005F3A5C">
      <w:pPr>
        <w:spacing w:before="100" w:beforeAutospacing="1" w:after="100" w:afterAutospacing="1"/>
        <w:rPr>
          <w:color w:val="222222"/>
        </w:rPr>
      </w:pPr>
    </w:p>
    <w:p w14:paraId="09B57135" w14:textId="77777777" w:rsidR="00B3371D" w:rsidRPr="005C1635" w:rsidRDefault="00B3371D" w:rsidP="005F3A5C">
      <w:pPr>
        <w:spacing w:before="100" w:beforeAutospacing="1" w:after="100" w:afterAutospacing="1"/>
        <w:rPr>
          <w:color w:val="222222"/>
        </w:rPr>
      </w:pPr>
    </w:p>
    <w:p w14:paraId="0A36E600" w14:textId="77777777" w:rsidR="005C1635" w:rsidRPr="005C1635" w:rsidRDefault="005F3A5C" w:rsidP="005C1635">
      <w:pPr>
        <w:spacing w:before="100" w:beforeAutospacing="1" w:after="100" w:afterAutospacing="1"/>
        <w:rPr>
          <w:b/>
          <w:color w:val="222222"/>
          <w:sz w:val="22"/>
        </w:rPr>
      </w:pPr>
      <w:r w:rsidRPr="005C1635">
        <w:rPr>
          <w:b/>
          <w:color w:val="222222"/>
          <w:sz w:val="22"/>
        </w:rPr>
        <w:lastRenderedPageBreak/>
        <w:t xml:space="preserve">3. </w:t>
      </w:r>
      <w:r w:rsidRPr="005C1635">
        <w:rPr>
          <w:b/>
          <w:color w:val="222222"/>
          <w:sz w:val="22"/>
          <w:u w:val="single"/>
        </w:rPr>
        <w:t>Tax overview</w:t>
      </w:r>
    </w:p>
    <w:p w14:paraId="010F6688" w14:textId="4DDBA8FA" w:rsidR="001824BA" w:rsidRPr="00B3371D" w:rsidRDefault="005C1635" w:rsidP="00B3371D">
      <w:pPr>
        <w:spacing w:after="330"/>
        <w:rPr>
          <w:sz w:val="22"/>
          <w:szCs w:val="22"/>
          <w:lang w:eastAsia="zh-CN"/>
        </w:rPr>
      </w:pPr>
      <w:r w:rsidRPr="005C1635">
        <w:rPr>
          <w:sz w:val="22"/>
          <w:szCs w:val="22"/>
          <w:lang w:eastAsia="zh-CN"/>
        </w:rPr>
        <w:t xml:space="preserve">PNG’s tax regime is based on the Income Tax Act, the Goods and Services Tax Act, the Customs Act and the Excise Tax Act, and supported by related legislation and regulations. </w:t>
      </w:r>
    </w:p>
    <w:p w14:paraId="4BE08FD7" w14:textId="6D9A271E" w:rsidR="004039EF" w:rsidRPr="00B3371D" w:rsidRDefault="00D60E1B" w:rsidP="00FE1A97">
      <w:pPr>
        <w:pStyle w:val="ListParagraph"/>
        <w:numPr>
          <w:ilvl w:val="0"/>
          <w:numId w:val="12"/>
        </w:numPr>
        <w:rPr>
          <w:rFonts w:ascii="Arial" w:hAnsi="Arial" w:cs="Arial"/>
          <w:b/>
        </w:rPr>
      </w:pPr>
      <w:r>
        <w:rPr>
          <w:rFonts w:ascii="Arial" w:hAnsi="Arial" w:cs="Arial"/>
          <w:b/>
        </w:rPr>
        <w:t>Income Tax for Individual:</w:t>
      </w:r>
    </w:p>
    <w:p w14:paraId="059E1271" w14:textId="5714968D" w:rsidR="00FE1A97" w:rsidRDefault="00FE1A97" w:rsidP="00FE1A97">
      <w:pPr>
        <w:pStyle w:val="Default"/>
        <w:rPr>
          <w:rFonts w:ascii="Arial" w:hAnsi="Arial" w:cs="Arial"/>
          <w:b/>
          <w:bCs/>
          <w:sz w:val="22"/>
          <w:szCs w:val="22"/>
        </w:rPr>
      </w:pPr>
      <w:r w:rsidRPr="00FE1A97">
        <w:rPr>
          <w:rFonts w:ascii="Arial" w:hAnsi="Arial" w:cs="Arial"/>
          <w:b/>
          <w:bCs/>
          <w:sz w:val="22"/>
          <w:szCs w:val="22"/>
        </w:rPr>
        <w:t xml:space="preserve">Financial period </w:t>
      </w:r>
    </w:p>
    <w:p w14:paraId="203B3E66" w14:textId="77777777" w:rsidR="00FE1A97" w:rsidRPr="00FE1A97" w:rsidRDefault="00FE1A97" w:rsidP="00FE1A97">
      <w:pPr>
        <w:pStyle w:val="Default"/>
        <w:rPr>
          <w:rFonts w:ascii="Arial" w:hAnsi="Arial" w:cs="Arial"/>
          <w:sz w:val="22"/>
          <w:szCs w:val="22"/>
        </w:rPr>
      </w:pPr>
    </w:p>
    <w:p w14:paraId="1C362496" w14:textId="77777777" w:rsidR="00FE1A97" w:rsidRPr="00FE1A97" w:rsidRDefault="00FE1A97" w:rsidP="00FE1A97">
      <w:pPr>
        <w:pStyle w:val="Default"/>
        <w:rPr>
          <w:rFonts w:ascii="Arial" w:hAnsi="Arial" w:cs="Arial"/>
          <w:sz w:val="22"/>
          <w:szCs w:val="22"/>
        </w:rPr>
      </w:pPr>
      <w:r w:rsidRPr="00FE1A97">
        <w:rPr>
          <w:rFonts w:ascii="Arial" w:hAnsi="Arial" w:cs="Arial"/>
          <w:sz w:val="22"/>
          <w:szCs w:val="22"/>
        </w:rPr>
        <w:t xml:space="preserve">The standard financial period, or year of income, is the 12 month period ending 31 December. </w:t>
      </w:r>
    </w:p>
    <w:p w14:paraId="6D923850" w14:textId="77777777" w:rsidR="00FE1A97" w:rsidRDefault="00FE1A97" w:rsidP="00FE1A97">
      <w:pPr>
        <w:pStyle w:val="Default"/>
        <w:rPr>
          <w:rFonts w:ascii="Arial" w:hAnsi="Arial" w:cs="Arial"/>
          <w:b/>
          <w:bCs/>
          <w:sz w:val="22"/>
          <w:szCs w:val="22"/>
        </w:rPr>
      </w:pPr>
    </w:p>
    <w:p w14:paraId="6426566C" w14:textId="6348DB83" w:rsidR="00FE1A97" w:rsidRDefault="00FE1A97" w:rsidP="00FE1A97">
      <w:pPr>
        <w:pStyle w:val="Default"/>
        <w:rPr>
          <w:rFonts w:ascii="Arial" w:hAnsi="Arial" w:cs="Arial"/>
          <w:b/>
          <w:bCs/>
          <w:sz w:val="22"/>
          <w:szCs w:val="22"/>
        </w:rPr>
      </w:pPr>
      <w:r w:rsidRPr="00FE1A97">
        <w:rPr>
          <w:rFonts w:ascii="Arial" w:hAnsi="Arial" w:cs="Arial"/>
          <w:b/>
          <w:bCs/>
          <w:sz w:val="22"/>
          <w:szCs w:val="22"/>
        </w:rPr>
        <w:t>Personal income tax rates 201</w:t>
      </w:r>
      <w:r w:rsidR="008C4D94">
        <w:rPr>
          <w:rFonts w:ascii="Arial" w:hAnsi="Arial" w:cs="Arial"/>
          <w:b/>
          <w:bCs/>
          <w:sz w:val="22"/>
          <w:szCs w:val="22"/>
        </w:rPr>
        <w:t>9</w:t>
      </w:r>
    </w:p>
    <w:p w14:paraId="3AC1D6C0" w14:textId="77777777" w:rsidR="00FE1A97" w:rsidRPr="00FE1A97" w:rsidRDefault="00FE1A97" w:rsidP="00FE1A97">
      <w:pPr>
        <w:pStyle w:val="Default"/>
        <w:rPr>
          <w:rFonts w:ascii="Arial" w:hAnsi="Arial" w:cs="Arial"/>
          <w:sz w:val="22"/>
          <w:szCs w:val="22"/>
        </w:rPr>
      </w:pPr>
    </w:p>
    <w:p w14:paraId="2DCE5576" w14:textId="5C8794F0" w:rsidR="00FE1A97" w:rsidRDefault="00FE1A97" w:rsidP="00FE1A97">
      <w:pPr>
        <w:pStyle w:val="Default"/>
        <w:rPr>
          <w:rFonts w:ascii="Arial" w:hAnsi="Arial" w:cs="Arial"/>
          <w:sz w:val="22"/>
          <w:szCs w:val="22"/>
        </w:rPr>
      </w:pPr>
      <w:r w:rsidRPr="00FE1A97">
        <w:rPr>
          <w:rFonts w:ascii="Arial" w:hAnsi="Arial" w:cs="Arial"/>
          <w:sz w:val="22"/>
          <w:szCs w:val="22"/>
        </w:rPr>
        <w:t xml:space="preserve">Income earned by individuals is taxed at marginal rates. The rates which apply to resident individuals differ from those which apply to non-resident individuals. </w:t>
      </w:r>
    </w:p>
    <w:p w14:paraId="5869A50F" w14:textId="67EE2389" w:rsidR="00FE1A97" w:rsidRDefault="00FE1A97" w:rsidP="00FE1A97">
      <w:pPr>
        <w:pStyle w:val="Default"/>
        <w:rPr>
          <w:rFonts w:ascii="Arial" w:hAnsi="Arial" w:cs="Arial"/>
          <w:sz w:val="22"/>
          <w:szCs w:val="22"/>
        </w:rPr>
      </w:pPr>
    </w:p>
    <w:p w14:paraId="35D63EF9" w14:textId="0D3A6D21" w:rsidR="00FE1A97" w:rsidRDefault="00FE1A97" w:rsidP="00FE1A97">
      <w:pPr>
        <w:pStyle w:val="Default"/>
        <w:rPr>
          <w:rFonts w:ascii="Arial" w:hAnsi="Arial" w:cs="Arial"/>
          <w:b/>
          <w:bCs/>
          <w:sz w:val="22"/>
          <w:szCs w:val="22"/>
        </w:rPr>
      </w:pPr>
      <w:r w:rsidRPr="00FE1A97">
        <w:rPr>
          <w:rFonts w:ascii="Arial" w:hAnsi="Arial" w:cs="Arial"/>
          <w:sz w:val="22"/>
          <w:szCs w:val="22"/>
        </w:rPr>
        <w:t>From 1 January 201</w:t>
      </w:r>
      <w:r w:rsidR="008C4D94">
        <w:rPr>
          <w:rFonts w:ascii="Arial" w:hAnsi="Arial" w:cs="Arial"/>
          <w:sz w:val="22"/>
          <w:szCs w:val="22"/>
        </w:rPr>
        <w:t>9</w:t>
      </w:r>
      <w:r w:rsidRPr="00FE1A97">
        <w:rPr>
          <w:rFonts w:ascii="Arial" w:hAnsi="Arial" w:cs="Arial"/>
          <w:sz w:val="22"/>
          <w:szCs w:val="22"/>
        </w:rPr>
        <w:t xml:space="preserve"> the tax rates for individuals who are residents of PNG are as follows: </w:t>
      </w:r>
    </w:p>
    <w:p w14:paraId="74599556" w14:textId="77777777" w:rsidR="00FE1A97" w:rsidRPr="00FE1A97" w:rsidRDefault="00FE1A97" w:rsidP="00FE1A97">
      <w:pPr>
        <w:pStyle w:val="Default"/>
        <w:rPr>
          <w:rFonts w:ascii="Arial" w:hAnsi="Arial" w:cs="Arial"/>
          <w:sz w:val="22"/>
          <w:szCs w:val="22"/>
        </w:rPr>
      </w:pPr>
    </w:p>
    <w:tbl>
      <w:tblPr>
        <w:tblStyle w:val="TableGrid"/>
        <w:tblW w:w="0" w:type="auto"/>
        <w:tblLayout w:type="fixed"/>
        <w:tblLook w:val="0000" w:firstRow="0" w:lastRow="0" w:firstColumn="0" w:lastColumn="0" w:noHBand="0" w:noVBand="0"/>
      </w:tblPr>
      <w:tblGrid>
        <w:gridCol w:w="3145"/>
        <w:gridCol w:w="2520"/>
      </w:tblGrid>
      <w:tr w:rsidR="00103D1F" w:rsidRPr="00FE1A97" w14:paraId="3021E3A2" w14:textId="77777777" w:rsidTr="00FE1A97">
        <w:trPr>
          <w:trHeight w:val="215"/>
        </w:trPr>
        <w:tc>
          <w:tcPr>
            <w:tcW w:w="3145" w:type="dxa"/>
          </w:tcPr>
          <w:p w14:paraId="5FB15CBE" w14:textId="33F06C6B" w:rsidR="00103D1F" w:rsidRPr="00FE1A97" w:rsidRDefault="00103D1F">
            <w:pPr>
              <w:pStyle w:val="Default"/>
              <w:rPr>
                <w:rFonts w:ascii="Arial" w:hAnsi="Arial" w:cs="Arial"/>
                <w:sz w:val="22"/>
                <w:szCs w:val="22"/>
              </w:rPr>
            </w:pPr>
            <w:r w:rsidRPr="00FE1A97">
              <w:rPr>
                <w:rFonts w:ascii="Arial" w:hAnsi="Arial" w:cs="Arial"/>
                <w:b/>
                <w:bCs/>
                <w:sz w:val="22"/>
                <w:szCs w:val="22"/>
              </w:rPr>
              <w:t xml:space="preserve">Income K </w:t>
            </w:r>
          </w:p>
        </w:tc>
        <w:tc>
          <w:tcPr>
            <w:tcW w:w="2520" w:type="dxa"/>
          </w:tcPr>
          <w:p w14:paraId="30D6810F" w14:textId="2ED0E4E8" w:rsidR="00103D1F" w:rsidRPr="00FE1A97" w:rsidRDefault="00103D1F">
            <w:pPr>
              <w:pStyle w:val="Default"/>
              <w:rPr>
                <w:rFonts w:ascii="Arial" w:hAnsi="Arial" w:cs="Arial"/>
                <w:sz w:val="22"/>
                <w:szCs w:val="22"/>
              </w:rPr>
            </w:pPr>
            <w:r>
              <w:rPr>
                <w:rFonts w:ascii="Arial" w:hAnsi="Arial" w:cs="Arial"/>
                <w:b/>
                <w:bCs/>
                <w:sz w:val="22"/>
                <w:szCs w:val="22"/>
              </w:rPr>
              <w:t>Marginal Tax Rate</w:t>
            </w:r>
            <w:r w:rsidRPr="00FE1A97">
              <w:rPr>
                <w:rFonts w:ascii="Arial" w:hAnsi="Arial" w:cs="Arial"/>
                <w:b/>
                <w:bCs/>
                <w:sz w:val="22"/>
                <w:szCs w:val="22"/>
              </w:rPr>
              <w:t xml:space="preserve"> </w:t>
            </w:r>
            <w:r>
              <w:rPr>
                <w:rFonts w:ascii="Arial" w:hAnsi="Arial" w:cs="Arial"/>
                <w:b/>
                <w:bCs/>
                <w:sz w:val="22"/>
                <w:szCs w:val="22"/>
              </w:rPr>
              <w:t>%</w:t>
            </w:r>
          </w:p>
        </w:tc>
      </w:tr>
      <w:tr w:rsidR="00103D1F" w:rsidRPr="00FE1A97" w14:paraId="54DF6DFC" w14:textId="77777777" w:rsidTr="00FE1A97">
        <w:trPr>
          <w:trHeight w:val="75"/>
        </w:trPr>
        <w:tc>
          <w:tcPr>
            <w:tcW w:w="3145" w:type="dxa"/>
          </w:tcPr>
          <w:p w14:paraId="070F314C" w14:textId="08805450" w:rsidR="00103D1F" w:rsidRPr="00FE1A97" w:rsidRDefault="00103D1F">
            <w:pPr>
              <w:pStyle w:val="Default"/>
              <w:rPr>
                <w:rFonts w:ascii="Arial" w:hAnsi="Arial" w:cs="Arial"/>
                <w:sz w:val="22"/>
                <w:szCs w:val="22"/>
              </w:rPr>
            </w:pPr>
            <w:r>
              <w:rPr>
                <w:rFonts w:ascii="Arial" w:hAnsi="Arial" w:cs="Arial"/>
                <w:sz w:val="22"/>
                <w:szCs w:val="22"/>
              </w:rPr>
              <w:t>1 – 12,500</w:t>
            </w:r>
          </w:p>
        </w:tc>
        <w:tc>
          <w:tcPr>
            <w:tcW w:w="2520" w:type="dxa"/>
          </w:tcPr>
          <w:p w14:paraId="6CE2D3AC" w14:textId="3E2F3C42" w:rsidR="00103D1F" w:rsidRPr="00FE1A97" w:rsidRDefault="00103D1F">
            <w:pPr>
              <w:pStyle w:val="Default"/>
              <w:rPr>
                <w:rFonts w:ascii="Arial" w:hAnsi="Arial" w:cs="Arial"/>
                <w:sz w:val="22"/>
                <w:szCs w:val="22"/>
              </w:rPr>
            </w:pPr>
            <w:r>
              <w:rPr>
                <w:rFonts w:ascii="Arial" w:hAnsi="Arial" w:cs="Arial"/>
                <w:sz w:val="22"/>
                <w:szCs w:val="22"/>
              </w:rPr>
              <w:t>0</w:t>
            </w:r>
          </w:p>
        </w:tc>
      </w:tr>
      <w:tr w:rsidR="00103D1F" w:rsidRPr="00FE1A97" w14:paraId="01F4AC3C" w14:textId="77777777" w:rsidTr="00FE1A97">
        <w:trPr>
          <w:trHeight w:val="75"/>
        </w:trPr>
        <w:tc>
          <w:tcPr>
            <w:tcW w:w="3145" w:type="dxa"/>
          </w:tcPr>
          <w:p w14:paraId="1F2686C2" w14:textId="707F3FF7" w:rsidR="00103D1F" w:rsidRPr="00FE1A97" w:rsidRDefault="00103D1F">
            <w:pPr>
              <w:pStyle w:val="Default"/>
              <w:rPr>
                <w:rFonts w:ascii="Arial" w:hAnsi="Arial" w:cs="Arial"/>
                <w:sz w:val="22"/>
                <w:szCs w:val="22"/>
              </w:rPr>
            </w:pPr>
            <w:r w:rsidRPr="00FE1A97">
              <w:rPr>
                <w:rFonts w:ascii="Arial" w:hAnsi="Arial" w:cs="Arial"/>
                <w:sz w:val="22"/>
                <w:szCs w:val="22"/>
              </w:rPr>
              <w:t>1</w:t>
            </w:r>
            <w:r>
              <w:rPr>
                <w:rFonts w:ascii="Arial" w:hAnsi="Arial" w:cs="Arial"/>
                <w:sz w:val="22"/>
                <w:szCs w:val="22"/>
              </w:rPr>
              <w:t>2</w:t>
            </w:r>
            <w:r w:rsidRPr="00FE1A97">
              <w:rPr>
                <w:rFonts w:ascii="Arial" w:hAnsi="Arial" w:cs="Arial"/>
                <w:sz w:val="22"/>
                <w:szCs w:val="22"/>
              </w:rPr>
              <w:t>,</w:t>
            </w:r>
            <w:r>
              <w:rPr>
                <w:rFonts w:ascii="Arial" w:hAnsi="Arial" w:cs="Arial"/>
                <w:sz w:val="22"/>
                <w:szCs w:val="22"/>
              </w:rPr>
              <w:t>5</w:t>
            </w:r>
            <w:r w:rsidRPr="00FE1A97">
              <w:rPr>
                <w:rFonts w:ascii="Arial" w:hAnsi="Arial" w:cs="Arial"/>
                <w:sz w:val="22"/>
                <w:szCs w:val="22"/>
              </w:rPr>
              <w:t>0</w:t>
            </w:r>
            <w:r>
              <w:rPr>
                <w:rFonts w:ascii="Arial" w:hAnsi="Arial" w:cs="Arial"/>
                <w:sz w:val="22"/>
                <w:szCs w:val="22"/>
              </w:rPr>
              <w:t>1 – 20,000</w:t>
            </w:r>
          </w:p>
        </w:tc>
        <w:tc>
          <w:tcPr>
            <w:tcW w:w="2520" w:type="dxa"/>
          </w:tcPr>
          <w:p w14:paraId="1104D88F" w14:textId="77777777" w:rsidR="00103D1F" w:rsidRPr="00FE1A97" w:rsidRDefault="00103D1F">
            <w:pPr>
              <w:pStyle w:val="Default"/>
              <w:rPr>
                <w:rFonts w:ascii="Arial" w:hAnsi="Arial" w:cs="Arial"/>
                <w:sz w:val="22"/>
                <w:szCs w:val="22"/>
              </w:rPr>
            </w:pPr>
            <w:r w:rsidRPr="00FE1A97">
              <w:rPr>
                <w:rFonts w:ascii="Arial" w:hAnsi="Arial" w:cs="Arial"/>
                <w:sz w:val="22"/>
                <w:szCs w:val="22"/>
              </w:rPr>
              <w:t xml:space="preserve">22 </w:t>
            </w:r>
          </w:p>
        </w:tc>
      </w:tr>
      <w:tr w:rsidR="00103D1F" w:rsidRPr="00FE1A97" w14:paraId="42060D9A" w14:textId="77777777" w:rsidTr="00FE1A97">
        <w:trPr>
          <w:trHeight w:val="75"/>
        </w:trPr>
        <w:tc>
          <w:tcPr>
            <w:tcW w:w="3145" w:type="dxa"/>
          </w:tcPr>
          <w:p w14:paraId="22803BD0" w14:textId="62E59DB6" w:rsidR="00103D1F" w:rsidRPr="00FE1A97" w:rsidRDefault="00103D1F">
            <w:pPr>
              <w:pStyle w:val="Default"/>
              <w:rPr>
                <w:rFonts w:ascii="Arial" w:hAnsi="Arial" w:cs="Arial"/>
                <w:sz w:val="22"/>
                <w:szCs w:val="22"/>
              </w:rPr>
            </w:pPr>
            <w:r>
              <w:rPr>
                <w:rFonts w:ascii="Arial" w:hAnsi="Arial" w:cs="Arial"/>
                <w:sz w:val="22"/>
                <w:szCs w:val="22"/>
              </w:rPr>
              <w:t>20</w:t>
            </w:r>
            <w:r w:rsidRPr="00FE1A97">
              <w:rPr>
                <w:rFonts w:ascii="Arial" w:hAnsi="Arial" w:cs="Arial"/>
                <w:sz w:val="22"/>
                <w:szCs w:val="22"/>
              </w:rPr>
              <w:t>,00</w:t>
            </w:r>
            <w:r>
              <w:rPr>
                <w:rFonts w:ascii="Arial" w:hAnsi="Arial" w:cs="Arial"/>
                <w:sz w:val="22"/>
                <w:szCs w:val="22"/>
              </w:rPr>
              <w:t>1 – 33,000</w:t>
            </w:r>
          </w:p>
        </w:tc>
        <w:tc>
          <w:tcPr>
            <w:tcW w:w="2520" w:type="dxa"/>
          </w:tcPr>
          <w:p w14:paraId="447B1CA0" w14:textId="77777777" w:rsidR="00103D1F" w:rsidRPr="00FE1A97" w:rsidRDefault="00103D1F">
            <w:pPr>
              <w:pStyle w:val="Default"/>
              <w:rPr>
                <w:rFonts w:ascii="Arial" w:hAnsi="Arial" w:cs="Arial"/>
                <w:sz w:val="22"/>
                <w:szCs w:val="22"/>
              </w:rPr>
            </w:pPr>
            <w:r w:rsidRPr="00FE1A97">
              <w:rPr>
                <w:rFonts w:ascii="Arial" w:hAnsi="Arial" w:cs="Arial"/>
                <w:sz w:val="22"/>
                <w:szCs w:val="22"/>
              </w:rPr>
              <w:t xml:space="preserve">30 </w:t>
            </w:r>
          </w:p>
        </w:tc>
      </w:tr>
      <w:tr w:rsidR="00103D1F" w:rsidRPr="00FE1A97" w14:paraId="49F2A561" w14:textId="77777777" w:rsidTr="00FE1A97">
        <w:trPr>
          <w:trHeight w:val="75"/>
        </w:trPr>
        <w:tc>
          <w:tcPr>
            <w:tcW w:w="3145" w:type="dxa"/>
          </w:tcPr>
          <w:p w14:paraId="7D44A0DD" w14:textId="352A4B8E" w:rsidR="00103D1F" w:rsidRPr="00FE1A97" w:rsidRDefault="00103D1F">
            <w:pPr>
              <w:pStyle w:val="Default"/>
              <w:rPr>
                <w:rFonts w:ascii="Arial" w:hAnsi="Arial" w:cs="Arial"/>
                <w:sz w:val="22"/>
                <w:szCs w:val="22"/>
              </w:rPr>
            </w:pPr>
            <w:r w:rsidRPr="00FE1A97">
              <w:rPr>
                <w:rFonts w:ascii="Arial" w:hAnsi="Arial" w:cs="Arial"/>
                <w:sz w:val="22"/>
                <w:szCs w:val="22"/>
              </w:rPr>
              <w:t>33,00</w:t>
            </w:r>
            <w:r>
              <w:rPr>
                <w:rFonts w:ascii="Arial" w:hAnsi="Arial" w:cs="Arial"/>
                <w:sz w:val="22"/>
                <w:szCs w:val="22"/>
              </w:rPr>
              <w:t>1 – 70,000</w:t>
            </w:r>
          </w:p>
        </w:tc>
        <w:tc>
          <w:tcPr>
            <w:tcW w:w="2520" w:type="dxa"/>
          </w:tcPr>
          <w:p w14:paraId="351A3867" w14:textId="77777777" w:rsidR="00103D1F" w:rsidRPr="00FE1A97" w:rsidRDefault="00103D1F">
            <w:pPr>
              <w:pStyle w:val="Default"/>
              <w:rPr>
                <w:rFonts w:ascii="Arial" w:hAnsi="Arial" w:cs="Arial"/>
                <w:sz w:val="22"/>
                <w:szCs w:val="22"/>
              </w:rPr>
            </w:pPr>
            <w:r w:rsidRPr="00FE1A97">
              <w:rPr>
                <w:rFonts w:ascii="Arial" w:hAnsi="Arial" w:cs="Arial"/>
                <w:sz w:val="22"/>
                <w:szCs w:val="22"/>
              </w:rPr>
              <w:t xml:space="preserve">35 </w:t>
            </w:r>
          </w:p>
        </w:tc>
      </w:tr>
      <w:tr w:rsidR="00103D1F" w:rsidRPr="00FE1A97" w14:paraId="0419C8E1" w14:textId="77777777" w:rsidTr="00FE1A97">
        <w:trPr>
          <w:trHeight w:val="75"/>
        </w:trPr>
        <w:tc>
          <w:tcPr>
            <w:tcW w:w="3145" w:type="dxa"/>
          </w:tcPr>
          <w:p w14:paraId="7CBF4B88" w14:textId="011AF182" w:rsidR="00103D1F" w:rsidRPr="00FE1A97" w:rsidRDefault="00103D1F">
            <w:pPr>
              <w:pStyle w:val="Default"/>
              <w:rPr>
                <w:rFonts w:ascii="Arial" w:hAnsi="Arial" w:cs="Arial"/>
                <w:sz w:val="22"/>
                <w:szCs w:val="22"/>
              </w:rPr>
            </w:pPr>
            <w:r w:rsidRPr="00FE1A97">
              <w:rPr>
                <w:rFonts w:ascii="Arial" w:hAnsi="Arial" w:cs="Arial"/>
                <w:sz w:val="22"/>
                <w:szCs w:val="22"/>
              </w:rPr>
              <w:t>70,00</w:t>
            </w:r>
            <w:r>
              <w:rPr>
                <w:rFonts w:ascii="Arial" w:hAnsi="Arial" w:cs="Arial"/>
                <w:sz w:val="22"/>
                <w:szCs w:val="22"/>
              </w:rPr>
              <w:t>1 – 250,000</w:t>
            </w:r>
          </w:p>
        </w:tc>
        <w:tc>
          <w:tcPr>
            <w:tcW w:w="2520" w:type="dxa"/>
          </w:tcPr>
          <w:p w14:paraId="0CB12D0B" w14:textId="77777777" w:rsidR="00103D1F" w:rsidRPr="00FE1A97" w:rsidRDefault="00103D1F">
            <w:pPr>
              <w:pStyle w:val="Default"/>
              <w:rPr>
                <w:rFonts w:ascii="Arial" w:hAnsi="Arial" w:cs="Arial"/>
                <w:sz w:val="22"/>
                <w:szCs w:val="22"/>
              </w:rPr>
            </w:pPr>
            <w:r w:rsidRPr="00FE1A97">
              <w:rPr>
                <w:rFonts w:ascii="Arial" w:hAnsi="Arial" w:cs="Arial"/>
                <w:sz w:val="22"/>
                <w:szCs w:val="22"/>
              </w:rPr>
              <w:t xml:space="preserve">40 </w:t>
            </w:r>
          </w:p>
        </w:tc>
      </w:tr>
      <w:tr w:rsidR="00103D1F" w:rsidRPr="00FE1A97" w14:paraId="71993DCF" w14:textId="77777777" w:rsidTr="00FE1A97">
        <w:trPr>
          <w:trHeight w:val="75"/>
        </w:trPr>
        <w:tc>
          <w:tcPr>
            <w:tcW w:w="3145" w:type="dxa"/>
          </w:tcPr>
          <w:p w14:paraId="6C3C16F5" w14:textId="24AA2818" w:rsidR="00103D1F" w:rsidRPr="00FE1A97" w:rsidRDefault="00103D1F">
            <w:pPr>
              <w:pStyle w:val="Default"/>
              <w:rPr>
                <w:rFonts w:ascii="Arial" w:hAnsi="Arial" w:cs="Arial"/>
                <w:sz w:val="22"/>
                <w:szCs w:val="22"/>
              </w:rPr>
            </w:pPr>
            <w:r w:rsidRPr="00FE1A97">
              <w:rPr>
                <w:rFonts w:ascii="Arial" w:hAnsi="Arial" w:cs="Arial"/>
                <w:sz w:val="22"/>
                <w:szCs w:val="22"/>
              </w:rPr>
              <w:t>250,000</w:t>
            </w:r>
            <w:r>
              <w:rPr>
                <w:rFonts w:ascii="Arial" w:hAnsi="Arial" w:cs="Arial"/>
                <w:sz w:val="22"/>
                <w:szCs w:val="22"/>
              </w:rPr>
              <w:t xml:space="preserve"> + </w:t>
            </w:r>
          </w:p>
        </w:tc>
        <w:tc>
          <w:tcPr>
            <w:tcW w:w="2520" w:type="dxa"/>
          </w:tcPr>
          <w:p w14:paraId="1DF8EC98" w14:textId="77777777" w:rsidR="00103D1F" w:rsidRPr="00FE1A97" w:rsidRDefault="00103D1F">
            <w:pPr>
              <w:pStyle w:val="Default"/>
              <w:rPr>
                <w:rFonts w:ascii="Arial" w:hAnsi="Arial" w:cs="Arial"/>
                <w:sz w:val="22"/>
                <w:szCs w:val="22"/>
              </w:rPr>
            </w:pPr>
            <w:r w:rsidRPr="00FE1A97">
              <w:rPr>
                <w:rFonts w:ascii="Arial" w:hAnsi="Arial" w:cs="Arial"/>
                <w:sz w:val="22"/>
                <w:szCs w:val="22"/>
              </w:rPr>
              <w:t xml:space="preserve">42 </w:t>
            </w:r>
          </w:p>
        </w:tc>
      </w:tr>
    </w:tbl>
    <w:p w14:paraId="5AE60524" w14:textId="77777777" w:rsidR="00FE1A97" w:rsidRPr="00FE1A97" w:rsidRDefault="00FE1A97" w:rsidP="00FE1A97"/>
    <w:p w14:paraId="35801B06" w14:textId="77777777" w:rsidR="00FE1A97" w:rsidRDefault="00FE1A97" w:rsidP="00FE1A97">
      <w:pPr>
        <w:rPr>
          <w:sz w:val="22"/>
          <w:szCs w:val="16"/>
        </w:rPr>
      </w:pPr>
    </w:p>
    <w:p w14:paraId="316A2303" w14:textId="77777777" w:rsidR="00FE1A97" w:rsidRDefault="00FE1A97" w:rsidP="00FE1A97">
      <w:pPr>
        <w:rPr>
          <w:sz w:val="22"/>
          <w:szCs w:val="16"/>
        </w:rPr>
      </w:pPr>
    </w:p>
    <w:p w14:paraId="31816670" w14:textId="17682F36" w:rsidR="00FE1A97" w:rsidRDefault="00FE1A97" w:rsidP="00FE1A97">
      <w:pPr>
        <w:rPr>
          <w:sz w:val="22"/>
          <w:szCs w:val="16"/>
        </w:rPr>
      </w:pPr>
      <w:r w:rsidRPr="00FE1A97">
        <w:rPr>
          <w:sz w:val="22"/>
          <w:szCs w:val="16"/>
        </w:rPr>
        <w:t>From 1 January 201</w:t>
      </w:r>
      <w:r w:rsidR="008C4D94">
        <w:rPr>
          <w:sz w:val="22"/>
          <w:szCs w:val="16"/>
        </w:rPr>
        <w:t>9</w:t>
      </w:r>
      <w:r w:rsidRPr="00FE1A97">
        <w:rPr>
          <w:sz w:val="22"/>
          <w:szCs w:val="16"/>
        </w:rPr>
        <w:t xml:space="preserve"> the tax rates for individuals who are non-residents of PNG are as follows:</w:t>
      </w:r>
    </w:p>
    <w:p w14:paraId="5068657B" w14:textId="77777777" w:rsidR="00FE1A97" w:rsidRPr="00FE1A97" w:rsidRDefault="00FE1A97" w:rsidP="00FE1A97">
      <w:pPr>
        <w:rPr>
          <w:b/>
          <w:sz w:val="36"/>
        </w:rPr>
      </w:pPr>
    </w:p>
    <w:tbl>
      <w:tblPr>
        <w:tblStyle w:val="TableGrid"/>
        <w:tblW w:w="0" w:type="auto"/>
        <w:tblLayout w:type="fixed"/>
        <w:tblLook w:val="0000" w:firstRow="0" w:lastRow="0" w:firstColumn="0" w:lastColumn="0" w:noHBand="0" w:noVBand="0"/>
      </w:tblPr>
      <w:tblGrid>
        <w:gridCol w:w="3145"/>
        <w:gridCol w:w="2520"/>
      </w:tblGrid>
      <w:tr w:rsidR="00103D1F" w:rsidRPr="00FE1A97" w14:paraId="09606DF6" w14:textId="77777777" w:rsidTr="00FE1A97">
        <w:trPr>
          <w:trHeight w:val="217"/>
        </w:trPr>
        <w:tc>
          <w:tcPr>
            <w:tcW w:w="3145" w:type="dxa"/>
          </w:tcPr>
          <w:p w14:paraId="73FA0874" w14:textId="33E75629" w:rsidR="00103D1F" w:rsidRPr="00FE1A97" w:rsidRDefault="00103D1F" w:rsidP="00103D1F">
            <w:pPr>
              <w:pStyle w:val="Default"/>
              <w:rPr>
                <w:rFonts w:ascii="Arial" w:hAnsi="Arial" w:cs="Arial"/>
                <w:sz w:val="22"/>
                <w:szCs w:val="22"/>
              </w:rPr>
            </w:pPr>
            <w:r w:rsidRPr="00FE1A97">
              <w:rPr>
                <w:rFonts w:ascii="Arial" w:hAnsi="Arial" w:cs="Arial"/>
                <w:b/>
                <w:bCs/>
                <w:sz w:val="22"/>
                <w:szCs w:val="22"/>
              </w:rPr>
              <w:t xml:space="preserve">Taxable Income K </w:t>
            </w:r>
          </w:p>
        </w:tc>
        <w:tc>
          <w:tcPr>
            <w:tcW w:w="2520" w:type="dxa"/>
          </w:tcPr>
          <w:p w14:paraId="754F96FD" w14:textId="72C913D6" w:rsidR="00103D1F" w:rsidRPr="00FE1A97" w:rsidRDefault="00103D1F" w:rsidP="00103D1F">
            <w:pPr>
              <w:pStyle w:val="Default"/>
              <w:rPr>
                <w:rFonts w:ascii="Arial" w:hAnsi="Arial" w:cs="Arial"/>
                <w:sz w:val="22"/>
                <w:szCs w:val="22"/>
              </w:rPr>
            </w:pPr>
            <w:r>
              <w:rPr>
                <w:rFonts w:ascii="Arial" w:hAnsi="Arial" w:cs="Arial"/>
                <w:b/>
                <w:bCs/>
                <w:sz w:val="22"/>
                <w:szCs w:val="22"/>
              </w:rPr>
              <w:t>Marginal Tax Rate</w:t>
            </w:r>
            <w:r w:rsidRPr="00FE1A97">
              <w:rPr>
                <w:rFonts w:ascii="Arial" w:hAnsi="Arial" w:cs="Arial"/>
                <w:b/>
                <w:bCs/>
                <w:sz w:val="22"/>
                <w:szCs w:val="22"/>
              </w:rPr>
              <w:t xml:space="preserve"> </w:t>
            </w:r>
            <w:r>
              <w:rPr>
                <w:rFonts w:ascii="Arial" w:hAnsi="Arial" w:cs="Arial"/>
                <w:b/>
                <w:bCs/>
                <w:sz w:val="22"/>
                <w:szCs w:val="22"/>
              </w:rPr>
              <w:t>%</w:t>
            </w:r>
          </w:p>
        </w:tc>
      </w:tr>
      <w:tr w:rsidR="00103D1F" w:rsidRPr="00FE1A97" w14:paraId="6E8B9927" w14:textId="77777777" w:rsidTr="00FE1A97">
        <w:trPr>
          <w:trHeight w:val="75"/>
        </w:trPr>
        <w:tc>
          <w:tcPr>
            <w:tcW w:w="3145" w:type="dxa"/>
          </w:tcPr>
          <w:p w14:paraId="3751E41A" w14:textId="07F6AA6F" w:rsidR="00103D1F" w:rsidRPr="00FE1A97" w:rsidRDefault="00103D1F" w:rsidP="00103D1F">
            <w:pPr>
              <w:pStyle w:val="Default"/>
              <w:rPr>
                <w:rFonts w:ascii="Arial" w:hAnsi="Arial" w:cs="Arial"/>
                <w:sz w:val="22"/>
                <w:szCs w:val="22"/>
              </w:rPr>
            </w:pPr>
            <w:r>
              <w:rPr>
                <w:rFonts w:ascii="Arial" w:hAnsi="Arial" w:cs="Arial"/>
                <w:sz w:val="22"/>
                <w:szCs w:val="22"/>
              </w:rPr>
              <w:t>1 – 20,000</w:t>
            </w:r>
          </w:p>
        </w:tc>
        <w:tc>
          <w:tcPr>
            <w:tcW w:w="2520" w:type="dxa"/>
          </w:tcPr>
          <w:p w14:paraId="5BA89C93" w14:textId="1CF51B53" w:rsidR="00103D1F" w:rsidRPr="00FE1A97" w:rsidRDefault="00103D1F" w:rsidP="00103D1F">
            <w:pPr>
              <w:pStyle w:val="Default"/>
              <w:rPr>
                <w:rFonts w:ascii="Arial" w:hAnsi="Arial" w:cs="Arial"/>
                <w:sz w:val="22"/>
                <w:szCs w:val="22"/>
              </w:rPr>
            </w:pPr>
            <w:r w:rsidRPr="00FE1A97">
              <w:rPr>
                <w:rFonts w:ascii="Arial" w:hAnsi="Arial" w:cs="Arial"/>
                <w:sz w:val="22"/>
                <w:szCs w:val="22"/>
              </w:rPr>
              <w:t xml:space="preserve">22 </w:t>
            </w:r>
          </w:p>
        </w:tc>
      </w:tr>
      <w:tr w:rsidR="00103D1F" w:rsidRPr="00FE1A97" w14:paraId="645AE85B" w14:textId="77777777" w:rsidTr="00FE1A97">
        <w:trPr>
          <w:trHeight w:val="75"/>
        </w:trPr>
        <w:tc>
          <w:tcPr>
            <w:tcW w:w="3145" w:type="dxa"/>
          </w:tcPr>
          <w:p w14:paraId="53672832" w14:textId="06B706B2" w:rsidR="00103D1F" w:rsidRPr="00FE1A97" w:rsidRDefault="00103D1F" w:rsidP="00103D1F">
            <w:pPr>
              <w:pStyle w:val="Default"/>
              <w:rPr>
                <w:rFonts w:ascii="Arial" w:hAnsi="Arial" w:cs="Arial"/>
                <w:sz w:val="22"/>
                <w:szCs w:val="22"/>
              </w:rPr>
            </w:pPr>
            <w:r>
              <w:rPr>
                <w:rFonts w:ascii="Arial" w:hAnsi="Arial" w:cs="Arial"/>
                <w:sz w:val="22"/>
                <w:szCs w:val="22"/>
              </w:rPr>
              <w:t>20</w:t>
            </w:r>
            <w:r w:rsidRPr="00FE1A97">
              <w:rPr>
                <w:rFonts w:ascii="Arial" w:hAnsi="Arial" w:cs="Arial"/>
                <w:sz w:val="22"/>
                <w:szCs w:val="22"/>
              </w:rPr>
              <w:t>,00</w:t>
            </w:r>
            <w:r>
              <w:rPr>
                <w:rFonts w:ascii="Arial" w:hAnsi="Arial" w:cs="Arial"/>
                <w:sz w:val="22"/>
                <w:szCs w:val="22"/>
              </w:rPr>
              <w:t>1 – 33,000</w:t>
            </w:r>
          </w:p>
        </w:tc>
        <w:tc>
          <w:tcPr>
            <w:tcW w:w="2520" w:type="dxa"/>
          </w:tcPr>
          <w:p w14:paraId="71D3C5DF" w14:textId="30A7D966" w:rsidR="00103D1F" w:rsidRPr="00FE1A97" w:rsidRDefault="00103D1F" w:rsidP="00103D1F">
            <w:pPr>
              <w:pStyle w:val="Default"/>
              <w:rPr>
                <w:rFonts w:ascii="Arial" w:hAnsi="Arial" w:cs="Arial"/>
                <w:sz w:val="22"/>
                <w:szCs w:val="22"/>
              </w:rPr>
            </w:pPr>
            <w:r w:rsidRPr="00FE1A97">
              <w:rPr>
                <w:rFonts w:ascii="Arial" w:hAnsi="Arial" w:cs="Arial"/>
                <w:sz w:val="22"/>
                <w:szCs w:val="22"/>
              </w:rPr>
              <w:t xml:space="preserve">30 </w:t>
            </w:r>
          </w:p>
        </w:tc>
      </w:tr>
      <w:tr w:rsidR="00103D1F" w:rsidRPr="00FE1A97" w14:paraId="1E900839" w14:textId="77777777" w:rsidTr="00FE1A97">
        <w:trPr>
          <w:trHeight w:val="75"/>
        </w:trPr>
        <w:tc>
          <w:tcPr>
            <w:tcW w:w="3145" w:type="dxa"/>
          </w:tcPr>
          <w:p w14:paraId="0E90DE14" w14:textId="26104DC6" w:rsidR="00103D1F" w:rsidRPr="00FE1A97" w:rsidRDefault="00103D1F" w:rsidP="00103D1F">
            <w:pPr>
              <w:pStyle w:val="Default"/>
              <w:rPr>
                <w:rFonts w:ascii="Arial" w:hAnsi="Arial" w:cs="Arial"/>
                <w:sz w:val="22"/>
                <w:szCs w:val="22"/>
              </w:rPr>
            </w:pPr>
            <w:r w:rsidRPr="00FE1A97">
              <w:rPr>
                <w:rFonts w:ascii="Arial" w:hAnsi="Arial" w:cs="Arial"/>
                <w:sz w:val="22"/>
                <w:szCs w:val="22"/>
              </w:rPr>
              <w:t>33,00</w:t>
            </w:r>
            <w:r>
              <w:rPr>
                <w:rFonts w:ascii="Arial" w:hAnsi="Arial" w:cs="Arial"/>
                <w:sz w:val="22"/>
                <w:szCs w:val="22"/>
              </w:rPr>
              <w:t>1 – 70,000</w:t>
            </w:r>
          </w:p>
        </w:tc>
        <w:tc>
          <w:tcPr>
            <w:tcW w:w="2520" w:type="dxa"/>
          </w:tcPr>
          <w:p w14:paraId="48E1EEB9" w14:textId="23687222" w:rsidR="00103D1F" w:rsidRPr="00FE1A97" w:rsidRDefault="00103D1F" w:rsidP="00103D1F">
            <w:pPr>
              <w:pStyle w:val="Default"/>
              <w:rPr>
                <w:rFonts w:ascii="Arial" w:hAnsi="Arial" w:cs="Arial"/>
                <w:sz w:val="22"/>
                <w:szCs w:val="22"/>
              </w:rPr>
            </w:pPr>
            <w:r w:rsidRPr="00FE1A97">
              <w:rPr>
                <w:rFonts w:ascii="Arial" w:hAnsi="Arial" w:cs="Arial"/>
                <w:sz w:val="22"/>
                <w:szCs w:val="22"/>
              </w:rPr>
              <w:t xml:space="preserve">35 </w:t>
            </w:r>
          </w:p>
        </w:tc>
      </w:tr>
      <w:tr w:rsidR="00103D1F" w:rsidRPr="00FE1A97" w14:paraId="06264471" w14:textId="77777777" w:rsidTr="00FE1A97">
        <w:trPr>
          <w:trHeight w:val="75"/>
        </w:trPr>
        <w:tc>
          <w:tcPr>
            <w:tcW w:w="3145" w:type="dxa"/>
          </w:tcPr>
          <w:p w14:paraId="16984475" w14:textId="11407A85" w:rsidR="00103D1F" w:rsidRPr="00FE1A97" w:rsidRDefault="00103D1F" w:rsidP="00103D1F">
            <w:pPr>
              <w:pStyle w:val="Default"/>
              <w:rPr>
                <w:rFonts w:ascii="Arial" w:hAnsi="Arial" w:cs="Arial"/>
                <w:sz w:val="22"/>
                <w:szCs w:val="22"/>
              </w:rPr>
            </w:pPr>
            <w:r w:rsidRPr="00FE1A97">
              <w:rPr>
                <w:rFonts w:ascii="Arial" w:hAnsi="Arial" w:cs="Arial"/>
                <w:sz w:val="22"/>
                <w:szCs w:val="22"/>
              </w:rPr>
              <w:t>70,00</w:t>
            </w:r>
            <w:r>
              <w:rPr>
                <w:rFonts w:ascii="Arial" w:hAnsi="Arial" w:cs="Arial"/>
                <w:sz w:val="22"/>
                <w:szCs w:val="22"/>
              </w:rPr>
              <w:t>1 – 250,000</w:t>
            </w:r>
          </w:p>
        </w:tc>
        <w:tc>
          <w:tcPr>
            <w:tcW w:w="2520" w:type="dxa"/>
          </w:tcPr>
          <w:p w14:paraId="56AB569A" w14:textId="7AA5F884" w:rsidR="00103D1F" w:rsidRPr="00FE1A97" w:rsidRDefault="00103D1F" w:rsidP="00103D1F">
            <w:pPr>
              <w:pStyle w:val="Default"/>
              <w:rPr>
                <w:rFonts w:ascii="Arial" w:hAnsi="Arial" w:cs="Arial"/>
                <w:sz w:val="22"/>
                <w:szCs w:val="22"/>
              </w:rPr>
            </w:pPr>
            <w:r w:rsidRPr="00FE1A97">
              <w:rPr>
                <w:rFonts w:ascii="Arial" w:hAnsi="Arial" w:cs="Arial"/>
                <w:sz w:val="22"/>
                <w:szCs w:val="22"/>
              </w:rPr>
              <w:t xml:space="preserve">40 </w:t>
            </w:r>
          </w:p>
        </w:tc>
      </w:tr>
      <w:tr w:rsidR="00103D1F" w:rsidRPr="00FE1A97" w14:paraId="3B70B532" w14:textId="77777777" w:rsidTr="00FE1A97">
        <w:trPr>
          <w:trHeight w:val="75"/>
        </w:trPr>
        <w:tc>
          <w:tcPr>
            <w:tcW w:w="3145" w:type="dxa"/>
          </w:tcPr>
          <w:p w14:paraId="051C4526" w14:textId="30B42909" w:rsidR="00103D1F" w:rsidRPr="00FE1A97" w:rsidRDefault="00103D1F" w:rsidP="00103D1F">
            <w:pPr>
              <w:pStyle w:val="Default"/>
              <w:rPr>
                <w:rFonts w:ascii="Arial" w:hAnsi="Arial" w:cs="Arial"/>
                <w:sz w:val="22"/>
                <w:szCs w:val="22"/>
              </w:rPr>
            </w:pPr>
            <w:r w:rsidRPr="00FE1A97">
              <w:rPr>
                <w:rFonts w:ascii="Arial" w:hAnsi="Arial" w:cs="Arial"/>
                <w:sz w:val="22"/>
                <w:szCs w:val="22"/>
              </w:rPr>
              <w:t>250,000</w:t>
            </w:r>
            <w:r>
              <w:rPr>
                <w:rFonts w:ascii="Arial" w:hAnsi="Arial" w:cs="Arial"/>
                <w:sz w:val="22"/>
                <w:szCs w:val="22"/>
              </w:rPr>
              <w:t xml:space="preserve"> + </w:t>
            </w:r>
          </w:p>
        </w:tc>
        <w:tc>
          <w:tcPr>
            <w:tcW w:w="2520" w:type="dxa"/>
          </w:tcPr>
          <w:p w14:paraId="06DF313D" w14:textId="6267D1A0" w:rsidR="00103D1F" w:rsidRPr="00FE1A97" w:rsidRDefault="00103D1F" w:rsidP="00103D1F">
            <w:pPr>
              <w:pStyle w:val="Default"/>
              <w:rPr>
                <w:rFonts w:ascii="Arial" w:hAnsi="Arial" w:cs="Arial"/>
                <w:sz w:val="22"/>
                <w:szCs w:val="22"/>
              </w:rPr>
            </w:pPr>
            <w:r w:rsidRPr="00FE1A97">
              <w:rPr>
                <w:rFonts w:ascii="Arial" w:hAnsi="Arial" w:cs="Arial"/>
                <w:sz w:val="22"/>
                <w:szCs w:val="22"/>
              </w:rPr>
              <w:t xml:space="preserve">42 </w:t>
            </w:r>
          </w:p>
        </w:tc>
      </w:tr>
    </w:tbl>
    <w:p w14:paraId="2648032D" w14:textId="20841B28" w:rsidR="00D60E1B" w:rsidRDefault="00D60E1B" w:rsidP="00FE1A97">
      <w:pPr>
        <w:rPr>
          <w:b/>
        </w:rPr>
      </w:pPr>
    </w:p>
    <w:p w14:paraId="07128641" w14:textId="29ADFED9" w:rsidR="00FE1A97" w:rsidRDefault="00FE1A97" w:rsidP="00FE1A97">
      <w:pPr>
        <w:rPr>
          <w:b/>
        </w:rPr>
      </w:pPr>
    </w:p>
    <w:p w14:paraId="134697C1" w14:textId="7ACF3A62" w:rsidR="00FE1A97" w:rsidRDefault="00FE1A97" w:rsidP="00FE1A97">
      <w:pPr>
        <w:pStyle w:val="Default"/>
        <w:rPr>
          <w:rFonts w:ascii="Arial" w:hAnsi="Arial" w:cs="Arial"/>
          <w:b/>
          <w:bCs/>
          <w:sz w:val="22"/>
          <w:szCs w:val="22"/>
        </w:rPr>
      </w:pPr>
      <w:r w:rsidRPr="00951438">
        <w:rPr>
          <w:rFonts w:ascii="Arial" w:hAnsi="Arial" w:cs="Arial"/>
          <w:b/>
          <w:bCs/>
          <w:sz w:val="22"/>
          <w:szCs w:val="22"/>
        </w:rPr>
        <w:t xml:space="preserve">Fringe benefits </w:t>
      </w:r>
    </w:p>
    <w:p w14:paraId="7AFFBEBB" w14:textId="4044F2F6" w:rsidR="00951438" w:rsidRDefault="00951438" w:rsidP="00FE1A97">
      <w:pPr>
        <w:pStyle w:val="Default"/>
        <w:rPr>
          <w:rFonts w:ascii="Arial" w:hAnsi="Arial" w:cs="Arial"/>
          <w:b/>
          <w:bCs/>
          <w:sz w:val="22"/>
          <w:szCs w:val="22"/>
        </w:rPr>
      </w:pPr>
    </w:p>
    <w:p w14:paraId="302997EB" w14:textId="47F7F60B" w:rsidR="00951438" w:rsidRDefault="00951438" w:rsidP="00FE1A97">
      <w:pPr>
        <w:pStyle w:val="Default"/>
        <w:rPr>
          <w:rFonts w:ascii="Arial" w:hAnsi="Arial" w:cs="Arial"/>
          <w:sz w:val="22"/>
          <w:szCs w:val="22"/>
        </w:rPr>
      </w:pPr>
      <w:r w:rsidRPr="00951438">
        <w:rPr>
          <w:rFonts w:ascii="Arial" w:hAnsi="Arial" w:cs="Arial"/>
          <w:sz w:val="22"/>
          <w:szCs w:val="22"/>
        </w:rPr>
        <w:t>Benefits provided to employees are taxed at the prescribed values listed below:</w:t>
      </w:r>
    </w:p>
    <w:p w14:paraId="0EA6F07F" w14:textId="77777777" w:rsidR="00951438" w:rsidRPr="00951438" w:rsidRDefault="00951438" w:rsidP="00FE1A97">
      <w:pPr>
        <w:pStyle w:val="Default"/>
        <w:rPr>
          <w:rFonts w:ascii="Arial" w:hAnsi="Arial" w:cs="Arial"/>
          <w:sz w:val="22"/>
          <w:szCs w:val="22"/>
        </w:rPr>
      </w:pPr>
    </w:p>
    <w:tbl>
      <w:tblPr>
        <w:tblStyle w:val="TableGrid"/>
        <w:tblW w:w="0" w:type="auto"/>
        <w:tblLayout w:type="fixed"/>
        <w:tblLook w:val="0000" w:firstRow="0" w:lastRow="0" w:firstColumn="0" w:lastColumn="0" w:noHBand="0" w:noVBand="0"/>
      </w:tblPr>
      <w:tblGrid>
        <w:gridCol w:w="3685"/>
        <w:gridCol w:w="5130"/>
      </w:tblGrid>
      <w:tr w:rsidR="00FE1A97" w:rsidRPr="00951438" w14:paraId="54465C2C" w14:textId="77777777" w:rsidTr="00951438">
        <w:trPr>
          <w:trHeight w:val="65"/>
        </w:trPr>
        <w:tc>
          <w:tcPr>
            <w:tcW w:w="3685" w:type="dxa"/>
          </w:tcPr>
          <w:p w14:paraId="1638871B" w14:textId="6313C591" w:rsidR="00FE1A97" w:rsidRPr="00951438" w:rsidRDefault="00FE1A97">
            <w:pPr>
              <w:pStyle w:val="Default"/>
              <w:rPr>
                <w:rFonts w:ascii="Arial" w:hAnsi="Arial" w:cs="Arial"/>
                <w:sz w:val="22"/>
                <w:szCs w:val="22"/>
              </w:rPr>
            </w:pPr>
            <w:r w:rsidRPr="00951438">
              <w:rPr>
                <w:rFonts w:ascii="Arial" w:hAnsi="Arial" w:cs="Arial"/>
                <w:b/>
                <w:bCs/>
                <w:sz w:val="22"/>
                <w:szCs w:val="22"/>
              </w:rPr>
              <w:t xml:space="preserve">Benefit </w:t>
            </w:r>
          </w:p>
        </w:tc>
        <w:tc>
          <w:tcPr>
            <w:tcW w:w="5130" w:type="dxa"/>
          </w:tcPr>
          <w:p w14:paraId="11A3CEEF" w14:textId="77777777" w:rsidR="00FE1A97" w:rsidRPr="00951438" w:rsidRDefault="00FE1A97">
            <w:pPr>
              <w:pStyle w:val="Default"/>
              <w:rPr>
                <w:rFonts w:ascii="Arial" w:hAnsi="Arial" w:cs="Arial"/>
                <w:sz w:val="22"/>
                <w:szCs w:val="22"/>
              </w:rPr>
            </w:pPr>
            <w:r w:rsidRPr="00951438">
              <w:rPr>
                <w:rFonts w:ascii="Arial" w:hAnsi="Arial" w:cs="Arial"/>
                <w:b/>
                <w:bCs/>
                <w:sz w:val="22"/>
                <w:szCs w:val="22"/>
              </w:rPr>
              <w:t xml:space="preserve">Taxable value per fortnight </w:t>
            </w:r>
          </w:p>
        </w:tc>
      </w:tr>
      <w:tr w:rsidR="00FE1A97" w:rsidRPr="00951438" w14:paraId="4E03FC2C" w14:textId="77777777" w:rsidTr="00951438">
        <w:trPr>
          <w:trHeight w:val="226"/>
        </w:trPr>
        <w:tc>
          <w:tcPr>
            <w:tcW w:w="3685" w:type="dxa"/>
          </w:tcPr>
          <w:p w14:paraId="2A4AEA6A" w14:textId="77777777" w:rsidR="00FE1A97" w:rsidRPr="00951438" w:rsidRDefault="00FE1A97">
            <w:pPr>
              <w:pStyle w:val="Default"/>
              <w:rPr>
                <w:rFonts w:ascii="Arial" w:hAnsi="Arial" w:cs="Arial"/>
                <w:sz w:val="22"/>
                <w:szCs w:val="22"/>
              </w:rPr>
            </w:pPr>
            <w:r w:rsidRPr="00951438">
              <w:rPr>
                <w:rFonts w:ascii="Arial" w:hAnsi="Arial" w:cs="Arial"/>
                <w:sz w:val="22"/>
                <w:szCs w:val="22"/>
              </w:rPr>
              <w:t xml:space="preserve">Accommodation owned or rented by employer within PNG </w:t>
            </w:r>
          </w:p>
        </w:tc>
        <w:tc>
          <w:tcPr>
            <w:tcW w:w="5130" w:type="dxa"/>
          </w:tcPr>
          <w:p w14:paraId="170FA39A" w14:textId="77777777" w:rsidR="00FE1A97" w:rsidRPr="00951438" w:rsidRDefault="00FE1A97">
            <w:pPr>
              <w:pStyle w:val="Default"/>
              <w:rPr>
                <w:rFonts w:ascii="Arial" w:hAnsi="Arial" w:cs="Arial"/>
                <w:sz w:val="22"/>
                <w:szCs w:val="22"/>
              </w:rPr>
            </w:pPr>
            <w:r w:rsidRPr="00951438">
              <w:rPr>
                <w:rFonts w:ascii="Arial" w:hAnsi="Arial" w:cs="Arial"/>
                <w:sz w:val="22"/>
                <w:szCs w:val="22"/>
              </w:rPr>
              <w:t xml:space="preserve">Nil to K2,500 per fortnight depending on area, market value or market rental per week </w:t>
            </w:r>
          </w:p>
        </w:tc>
      </w:tr>
      <w:tr w:rsidR="00FE1A97" w:rsidRPr="00951438" w14:paraId="5B182DA0" w14:textId="77777777" w:rsidTr="00951438">
        <w:trPr>
          <w:trHeight w:val="65"/>
        </w:trPr>
        <w:tc>
          <w:tcPr>
            <w:tcW w:w="3685" w:type="dxa"/>
          </w:tcPr>
          <w:p w14:paraId="09EE0ACA" w14:textId="77777777" w:rsidR="00FE1A97" w:rsidRPr="00951438" w:rsidRDefault="00FE1A97">
            <w:pPr>
              <w:pStyle w:val="Default"/>
              <w:rPr>
                <w:rFonts w:ascii="Arial" w:hAnsi="Arial" w:cs="Arial"/>
                <w:sz w:val="22"/>
                <w:szCs w:val="22"/>
              </w:rPr>
            </w:pPr>
            <w:r w:rsidRPr="00951438">
              <w:rPr>
                <w:rFonts w:ascii="Arial" w:hAnsi="Arial" w:cs="Arial"/>
                <w:sz w:val="22"/>
                <w:szCs w:val="22"/>
              </w:rPr>
              <w:t xml:space="preserve">Mess / Barracks </w:t>
            </w:r>
          </w:p>
        </w:tc>
        <w:tc>
          <w:tcPr>
            <w:tcW w:w="5130" w:type="dxa"/>
          </w:tcPr>
          <w:p w14:paraId="0C20A2F4" w14:textId="77777777" w:rsidR="00FE1A97" w:rsidRPr="00951438" w:rsidRDefault="00FE1A97">
            <w:pPr>
              <w:pStyle w:val="Default"/>
              <w:rPr>
                <w:rFonts w:ascii="Arial" w:hAnsi="Arial" w:cs="Arial"/>
                <w:sz w:val="22"/>
                <w:szCs w:val="22"/>
              </w:rPr>
            </w:pPr>
            <w:r w:rsidRPr="00951438">
              <w:rPr>
                <w:rFonts w:ascii="Arial" w:hAnsi="Arial" w:cs="Arial"/>
                <w:sz w:val="22"/>
                <w:szCs w:val="22"/>
              </w:rPr>
              <w:t xml:space="preserve">Nil to K60 per fortnight depending on area </w:t>
            </w:r>
          </w:p>
        </w:tc>
      </w:tr>
      <w:tr w:rsidR="00FE1A97" w:rsidRPr="00951438" w14:paraId="5A9C1C28" w14:textId="77777777" w:rsidTr="00951438">
        <w:trPr>
          <w:trHeight w:val="145"/>
        </w:trPr>
        <w:tc>
          <w:tcPr>
            <w:tcW w:w="3685" w:type="dxa"/>
          </w:tcPr>
          <w:p w14:paraId="499B3BCD" w14:textId="77777777" w:rsidR="00FE1A97" w:rsidRPr="00951438" w:rsidRDefault="00FE1A97">
            <w:pPr>
              <w:pStyle w:val="Default"/>
              <w:rPr>
                <w:rFonts w:ascii="Arial" w:hAnsi="Arial" w:cs="Arial"/>
                <w:sz w:val="22"/>
                <w:szCs w:val="22"/>
              </w:rPr>
            </w:pPr>
            <w:r w:rsidRPr="00951438">
              <w:rPr>
                <w:rFonts w:ascii="Arial" w:hAnsi="Arial" w:cs="Arial"/>
                <w:sz w:val="22"/>
                <w:szCs w:val="22"/>
              </w:rPr>
              <w:t xml:space="preserve">Government Mess / Barracks </w:t>
            </w:r>
          </w:p>
        </w:tc>
        <w:tc>
          <w:tcPr>
            <w:tcW w:w="5130" w:type="dxa"/>
          </w:tcPr>
          <w:p w14:paraId="6351F7CB" w14:textId="77777777" w:rsidR="00FE1A97" w:rsidRPr="00951438" w:rsidRDefault="00FE1A97">
            <w:pPr>
              <w:pStyle w:val="Default"/>
              <w:rPr>
                <w:rFonts w:ascii="Arial" w:hAnsi="Arial" w:cs="Arial"/>
                <w:sz w:val="22"/>
                <w:szCs w:val="22"/>
              </w:rPr>
            </w:pPr>
            <w:r w:rsidRPr="00951438">
              <w:rPr>
                <w:rFonts w:ascii="Arial" w:hAnsi="Arial" w:cs="Arial"/>
                <w:sz w:val="22"/>
                <w:szCs w:val="22"/>
              </w:rPr>
              <w:t xml:space="preserve">Nil to K7 per fortnight depending on area </w:t>
            </w:r>
          </w:p>
        </w:tc>
      </w:tr>
      <w:tr w:rsidR="00FE1A97" w:rsidRPr="00951438" w14:paraId="3D03B926" w14:textId="77777777" w:rsidTr="00951438">
        <w:trPr>
          <w:trHeight w:val="629"/>
        </w:trPr>
        <w:tc>
          <w:tcPr>
            <w:tcW w:w="3685" w:type="dxa"/>
          </w:tcPr>
          <w:p w14:paraId="31F11C93" w14:textId="77777777" w:rsidR="00FE1A97" w:rsidRPr="00951438" w:rsidRDefault="00FE1A97">
            <w:pPr>
              <w:pStyle w:val="Default"/>
              <w:rPr>
                <w:rFonts w:ascii="Arial" w:hAnsi="Arial" w:cs="Arial"/>
                <w:sz w:val="22"/>
                <w:szCs w:val="22"/>
              </w:rPr>
            </w:pPr>
            <w:r w:rsidRPr="00951438">
              <w:rPr>
                <w:rFonts w:ascii="Arial" w:hAnsi="Arial" w:cs="Arial"/>
                <w:sz w:val="22"/>
                <w:szCs w:val="22"/>
              </w:rPr>
              <w:t xml:space="preserve">Housing allowance </w:t>
            </w:r>
          </w:p>
        </w:tc>
        <w:tc>
          <w:tcPr>
            <w:tcW w:w="5130" w:type="dxa"/>
          </w:tcPr>
          <w:p w14:paraId="09E1F86A" w14:textId="77777777" w:rsidR="00FE1A97" w:rsidRPr="00951438" w:rsidRDefault="00FE1A97">
            <w:pPr>
              <w:pStyle w:val="Default"/>
              <w:rPr>
                <w:rFonts w:ascii="Arial" w:hAnsi="Arial" w:cs="Arial"/>
                <w:sz w:val="22"/>
                <w:szCs w:val="22"/>
              </w:rPr>
            </w:pPr>
            <w:r w:rsidRPr="00951438">
              <w:rPr>
                <w:rFonts w:ascii="Arial" w:hAnsi="Arial" w:cs="Arial"/>
                <w:sz w:val="22"/>
                <w:szCs w:val="22"/>
              </w:rPr>
              <w:t xml:space="preserve">The employee will be taxed on the excess of housing allowance over eligible housing expenditure and on the prescribed value of the housing. A PNG citizen who receives an allowance under a Citizen Employee First Time Home Buyer Scheme is not subject to tax on the allowance. </w:t>
            </w:r>
          </w:p>
        </w:tc>
      </w:tr>
      <w:tr w:rsidR="00FE1A97" w:rsidRPr="00951438" w14:paraId="094B2FBD" w14:textId="77777777" w:rsidTr="00951438">
        <w:trPr>
          <w:trHeight w:val="226"/>
        </w:trPr>
        <w:tc>
          <w:tcPr>
            <w:tcW w:w="3685" w:type="dxa"/>
          </w:tcPr>
          <w:p w14:paraId="52E2BAF3" w14:textId="77777777" w:rsidR="00FE1A97" w:rsidRPr="00951438" w:rsidRDefault="00FE1A97">
            <w:pPr>
              <w:pStyle w:val="Default"/>
              <w:rPr>
                <w:rFonts w:ascii="Arial" w:hAnsi="Arial" w:cs="Arial"/>
                <w:sz w:val="22"/>
                <w:szCs w:val="22"/>
              </w:rPr>
            </w:pPr>
            <w:r w:rsidRPr="00951438">
              <w:rPr>
                <w:rFonts w:ascii="Arial" w:hAnsi="Arial" w:cs="Arial"/>
                <w:sz w:val="22"/>
                <w:szCs w:val="22"/>
              </w:rPr>
              <w:t xml:space="preserve">Motor vehicle </w:t>
            </w:r>
          </w:p>
        </w:tc>
        <w:tc>
          <w:tcPr>
            <w:tcW w:w="5130" w:type="dxa"/>
          </w:tcPr>
          <w:p w14:paraId="5F2AD571" w14:textId="77777777" w:rsidR="00FE1A97" w:rsidRPr="00951438" w:rsidRDefault="00FE1A97">
            <w:pPr>
              <w:pStyle w:val="Default"/>
              <w:rPr>
                <w:rFonts w:ascii="Arial" w:hAnsi="Arial" w:cs="Arial"/>
                <w:sz w:val="22"/>
                <w:szCs w:val="22"/>
              </w:rPr>
            </w:pPr>
            <w:r w:rsidRPr="00951438">
              <w:rPr>
                <w:rFonts w:ascii="Arial" w:hAnsi="Arial" w:cs="Arial"/>
                <w:sz w:val="22"/>
                <w:szCs w:val="22"/>
              </w:rPr>
              <w:t xml:space="preserve">Vehicle and fuel provided by employer: K125 per fortnight. Vehicle only provided: K95 per fortnight </w:t>
            </w:r>
          </w:p>
        </w:tc>
      </w:tr>
      <w:tr w:rsidR="00FE1A97" w:rsidRPr="00951438" w14:paraId="758B9CDE" w14:textId="77777777" w:rsidTr="00951438">
        <w:trPr>
          <w:trHeight w:val="226"/>
        </w:trPr>
        <w:tc>
          <w:tcPr>
            <w:tcW w:w="3685" w:type="dxa"/>
          </w:tcPr>
          <w:p w14:paraId="2473176A" w14:textId="77777777" w:rsidR="00FE1A97" w:rsidRPr="00951438" w:rsidRDefault="00FE1A97">
            <w:pPr>
              <w:pStyle w:val="Default"/>
              <w:rPr>
                <w:rFonts w:ascii="Arial" w:hAnsi="Arial" w:cs="Arial"/>
                <w:sz w:val="22"/>
                <w:szCs w:val="22"/>
              </w:rPr>
            </w:pPr>
            <w:r w:rsidRPr="00951438">
              <w:rPr>
                <w:rFonts w:ascii="Arial" w:hAnsi="Arial" w:cs="Arial"/>
                <w:sz w:val="22"/>
                <w:szCs w:val="22"/>
              </w:rPr>
              <w:t xml:space="preserve">Education expenses (except tertiary education) </w:t>
            </w:r>
          </w:p>
        </w:tc>
        <w:tc>
          <w:tcPr>
            <w:tcW w:w="5130" w:type="dxa"/>
          </w:tcPr>
          <w:p w14:paraId="6E56085C" w14:textId="5E57323B" w:rsidR="00FE1A97" w:rsidRPr="00951438" w:rsidRDefault="00FE1A97">
            <w:pPr>
              <w:pStyle w:val="Default"/>
              <w:rPr>
                <w:rFonts w:ascii="Arial" w:hAnsi="Arial" w:cs="Arial"/>
                <w:sz w:val="22"/>
                <w:szCs w:val="22"/>
              </w:rPr>
            </w:pPr>
            <w:r w:rsidRPr="00951438">
              <w:rPr>
                <w:rFonts w:ascii="Arial" w:hAnsi="Arial" w:cs="Arial"/>
                <w:sz w:val="22"/>
                <w:szCs w:val="22"/>
              </w:rPr>
              <w:t xml:space="preserve">Nil </w:t>
            </w:r>
          </w:p>
        </w:tc>
      </w:tr>
      <w:tr w:rsidR="00FE1A97" w:rsidRPr="00951438" w14:paraId="18ADB369" w14:textId="77777777" w:rsidTr="00951438">
        <w:trPr>
          <w:trHeight w:val="1061"/>
        </w:trPr>
        <w:tc>
          <w:tcPr>
            <w:tcW w:w="3685" w:type="dxa"/>
          </w:tcPr>
          <w:p w14:paraId="080DDCC6" w14:textId="77777777" w:rsidR="00FE1A97" w:rsidRPr="00951438" w:rsidRDefault="00FE1A97">
            <w:pPr>
              <w:pStyle w:val="Default"/>
              <w:rPr>
                <w:rFonts w:ascii="Arial" w:hAnsi="Arial" w:cs="Arial"/>
                <w:sz w:val="22"/>
                <w:szCs w:val="22"/>
              </w:rPr>
            </w:pPr>
            <w:r w:rsidRPr="00951438">
              <w:rPr>
                <w:rFonts w:ascii="Arial" w:hAnsi="Arial" w:cs="Arial"/>
                <w:sz w:val="22"/>
                <w:szCs w:val="22"/>
              </w:rPr>
              <w:t xml:space="preserve">Leave fares </w:t>
            </w:r>
          </w:p>
        </w:tc>
        <w:tc>
          <w:tcPr>
            <w:tcW w:w="5130" w:type="dxa"/>
          </w:tcPr>
          <w:p w14:paraId="16DB4F9B" w14:textId="77777777" w:rsidR="00FE1A97" w:rsidRPr="00951438" w:rsidRDefault="00FE1A97">
            <w:pPr>
              <w:pStyle w:val="Default"/>
              <w:rPr>
                <w:rFonts w:ascii="Arial" w:hAnsi="Arial" w:cs="Arial"/>
                <w:sz w:val="22"/>
                <w:szCs w:val="22"/>
              </w:rPr>
            </w:pPr>
            <w:r w:rsidRPr="00951438">
              <w:rPr>
                <w:rFonts w:ascii="Arial" w:hAnsi="Arial" w:cs="Arial"/>
                <w:sz w:val="22"/>
                <w:szCs w:val="22"/>
              </w:rPr>
              <w:t xml:space="preserve">One annual fare for the employee and his/her family to the place of recruitment or origin is exempt from tax. Alternatively, recreational fares and accommodation for travel within PNG to the value of the benefit of one annual leave fare are exempt from tax. </w:t>
            </w:r>
          </w:p>
          <w:p w14:paraId="06C7158E" w14:textId="77777777" w:rsidR="00951438" w:rsidRPr="00951438" w:rsidRDefault="00FE1A97">
            <w:pPr>
              <w:pStyle w:val="Default"/>
              <w:rPr>
                <w:rFonts w:ascii="Arial" w:hAnsi="Arial" w:cs="Arial"/>
                <w:sz w:val="22"/>
                <w:szCs w:val="22"/>
              </w:rPr>
            </w:pPr>
            <w:r w:rsidRPr="00951438">
              <w:rPr>
                <w:rFonts w:ascii="Arial" w:hAnsi="Arial" w:cs="Arial"/>
                <w:sz w:val="22"/>
                <w:szCs w:val="22"/>
              </w:rPr>
              <w:t>Additional leave fares are fully taxable, however additional leave fares within PNG for a person employed solely in, or in connection with most resource projects are exempt. Additional leave fares for employees serving in hardship or remote</w:t>
            </w:r>
            <w:r w:rsidR="00951438">
              <w:rPr>
                <w:rFonts w:ascii="Arial" w:hAnsi="Arial" w:cs="Arial"/>
                <w:sz w:val="22"/>
                <w:szCs w:val="22"/>
              </w:rPr>
              <w:t xml:space="preserve"> </w:t>
            </w:r>
          </w:p>
          <w:p w14:paraId="3EA85BAD" w14:textId="77777777" w:rsidR="00951438" w:rsidRPr="00951438" w:rsidRDefault="00951438" w:rsidP="00951438">
            <w:pPr>
              <w:pStyle w:val="Default"/>
              <w:rPr>
                <w:rFonts w:ascii="Arial" w:hAnsi="Arial" w:cs="Arial"/>
                <w:sz w:val="22"/>
                <w:szCs w:val="22"/>
              </w:rPr>
            </w:pPr>
            <w:r w:rsidRPr="00951438">
              <w:rPr>
                <w:rFonts w:ascii="Arial" w:hAnsi="Arial" w:cs="Arial"/>
                <w:sz w:val="22"/>
                <w:szCs w:val="22"/>
              </w:rPr>
              <w:t xml:space="preserve">areas may be exempted from tax at the discretion of the IRC. </w:t>
            </w:r>
          </w:p>
          <w:p w14:paraId="76899F35" w14:textId="489E9501" w:rsidR="00FE1A97" w:rsidRPr="00951438" w:rsidRDefault="00FE1A97">
            <w:pPr>
              <w:pStyle w:val="Default"/>
              <w:rPr>
                <w:rFonts w:ascii="Arial" w:hAnsi="Arial" w:cs="Arial"/>
                <w:sz w:val="22"/>
                <w:szCs w:val="22"/>
              </w:rPr>
            </w:pPr>
            <w:r w:rsidRPr="00951438">
              <w:rPr>
                <w:rFonts w:ascii="Arial" w:hAnsi="Arial" w:cs="Arial"/>
                <w:sz w:val="22"/>
                <w:szCs w:val="22"/>
              </w:rPr>
              <w:t xml:space="preserve"> </w:t>
            </w:r>
          </w:p>
        </w:tc>
      </w:tr>
      <w:tr w:rsidR="00951438" w:rsidRPr="00951438" w14:paraId="12856E5A" w14:textId="77777777" w:rsidTr="00951438">
        <w:tblPrEx>
          <w:tblLook w:val="04A0" w:firstRow="1" w:lastRow="0" w:firstColumn="1" w:lastColumn="0" w:noHBand="0" w:noVBand="1"/>
        </w:tblPrEx>
        <w:trPr>
          <w:trHeight w:val="307"/>
        </w:trPr>
        <w:tc>
          <w:tcPr>
            <w:tcW w:w="3685" w:type="dxa"/>
          </w:tcPr>
          <w:p w14:paraId="5077C1A2" w14:textId="77777777" w:rsidR="00951438" w:rsidRPr="00951438" w:rsidRDefault="00951438" w:rsidP="00951438">
            <w:pPr>
              <w:autoSpaceDE w:val="0"/>
              <w:autoSpaceDN w:val="0"/>
              <w:adjustRightInd w:val="0"/>
              <w:rPr>
                <w:rFonts w:eastAsiaTheme="minorHAnsi"/>
                <w:color w:val="000000"/>
                <w:sz w:val="22"/>
                <w:szCs w:val="22"/>
              </w:rPr>
            </w:pPr>
            <w:r w:rsidRPr="00951438">
              <w:rPr>
                <w:rFonts w:eastAsiaTheme="minorHAnsi"/>
                <w:color w:val="000000"/>
                <w:sz w:val="22"/>
                <w:szCs w:val="22"/>
              </w:rPr>
              <w:t xml:space="preserve">Contribution by employer to an authorised or overseas superannuation fund </w:t>
            </w:r>
          </w:p>
        </w:tc>
        <w:tc>
          <w:tcPr>
            <w:tcW w:w="5130" w:type="dxa"/>
          </w:tcPr>
          <w:p w14:paraId="1D4C487C" w14:textId="77777777" w:rsidR="00951438" w:rsidRPr="00951438" w:rsidRDefault="00951438" w:rsidP="00951438">
            <w:pPr>
              <w:autoSpaceDE w:val="0"/>
              <w:autoSpaceDN w:val="0"/>
              <w:adjustRightInd w:val="0"/>
              <w:rPr>
                <w:rFonts w:eastAsiaTheme="minorHAnsi"/>
                <w:color w:val="000000"/>
                <w:sz w:val="22"/>
                <w:szCs w:val="22"/>
              </w:rPr>
            </w:pPr>
            <w:r w:rsidRPr="00951438">
              <w:rPr>
                <w:rFonts w:eastAsiaTheme="minorHAnsi"/>
                <w:color w:val="000000"/>
                <w:sz w:val="22"/>
                <w:szCs w:val="22"/>
              </w:rPr>
              <w:t xml:space="preserve">Nil. However, an employer is not entitled to a tax deduction for contributions made to an overseas fund. </w:t>
            </w:r>
          </w:p>
        </w:tc>
      </w:tr>
      <w:tr w:rsidR="00951438" w:rsidRPr="00951438" w14:paraId="197E0857" w14:textId="77777777" w:rsidTr="00951438">
        <w:tblPrEx>
          <w:tblLook w:val="04A0" w:firstRow="1" w:lastRow="0" w:firstColumn="1" w:lastColumn="0" w:noHBand="0" w:noVBand="1"/>
        </w:tblPrEx>
        <w:trPr>
          <w:trHeight w:val="226"/>
        </w:trPr>
        <w:tc>
          <w:tcPr>
            <w:tcW w:w="3685" w:type="dxa"/>
          </w:tcPr>
          <w:p w14:paraId="23E73A1B" w14:textId="77777777" w:rsidR="00951438" w:rsidRPr="00951438" w:rsidRDefault="00951438" w:rsidP="00951438">
            <w:pPr>
              <w:autoSpaceDE w:val="0"/>
              <w:autoSpaceDN w:val="0"/>
              <w:adjustRightInd w:val="0"/>
              <w:rPr>
                <w:rFonts w:eastAsiaTheme="minorHAnsi"/>
                <w:color w:val="000000"/>
                <w:sz w:val="22"/>
                <w:szCs w:val="22"/>
              </w:rPr>
            </w:pPr>
            <w:r w:rsidRPr="00951438">
              <w:rPr>
                <w:rFonts w:eastAsiaTheme="minorHAnsi"/>
                <w:color w:val="000000"/>
                <w:sz w:val="22"/>
                <w:szCs w:val="22"/>
              </w:rPr>
              <w:t xml:space="preserve">Meals </w:t>
            </w:r>
          </w:p>
        </w:tc>
        <w:tc>
          <w:tcPr>
            <w:tcW w:w="5130" w:type="dxa"/>
          </w:tcPr>
          <w:p w14:paraId="78ACD541" w14:textId="77777777" w:rsidR="00951438" w:rsidRPr="00951438" w:rsidRDefault="00951438" w:rsidP="00951438">
            <w:pPr>
              <w:autoSpaceDE w:val="0"/>
              <w:autoSpaceDN w:val="0"/>
              <w:adjustRightInd w:val="0"/>
              <w:rPr>
                <w:rFonts w:eastAsiaTheme="minorHAnsi"/>
                <w:color w:val="000000"/>
                <w:sz w:val="22"/>
                <w:szCs w:val="22"/>
              </w:rPr>
            </w:pPr>
            <w:r w:rsidRPr="00951438">
              <w:rPr>
                <w:rFonts w:eastAsiaTheme="minorHAnsi"/>
                <w:color w:val="000000"/>
                <w:sz w:val="22"/>
                <w:szCs w:val="22"/>
              </w:rPr>
              <w:t xml:space="preserve">Messing type meals: K30 per fortnight. All other meals are subject to tax on the amount equal to the employer’s cost. </w:t>
            </w:r>
          </w:p>
        </w:tc>
      </w:tr>
      <w:tr w:rsidR="00951438" w:rsidRPr="00951438" w14:paraId="20D28ABF" w14:textId="77777777" w:rsidTr="00951438">
        <w:tblPrEx>
          <w:tblLook w:val="04A0" w:firstRow="1" w:lastRow="0" w:firstColumn="1" w:lastColumn="0" w:noHBand="0" w:noVBand="1"/>
        </w:tblPrEx>
        <w:trPr>
          <w:trHeight w:val="388"/>
        </w:trPr>
        <w:tc>
          <w:tcPr>
            <w:tcW w:w="3685" w:type="dxa"/>
          </w:tcPr>
          <w:p w14:paraId="1312B079" w14:textId="77777777" w:rsidR="00951438" w:rsidRPr="00951438" w:rsidRDefault="00951438" w:rsidP="00951438">
            <w:pPr>
              <w:autoSpaceDE w:val="0"/>
              <w:autoSpaceDN w:val="0"/>
              <w:adjustRightInd w:val="0"/>
              <w:rPr>
                <w:rFonts w:eastAsiaTheme="minorHAnsi"/>
                <w:color w:val="000000"/>
                <w:sz w:val="22"/>
                <w:szCs w:val="22"/>
              </w:rPr>
            </w:pPr>
            <w:r w:rsidRPr="00951438">
              <w:rPr>
                <w:rFonts w:eastAsiaTheme="minorHAnsi"/>
                <w:color w:val="000000"/>
                <w:sz w:val="22"/>
                <w:szCs w:val="22"/>
              </w:rPr>
              <w:t xml:space="preserve">Public utilities, gas, domestic services, security, club subscriptions </w:t>
            </w:r>
          </w:p>
        </w:tc>
        <w:tc>
          <w:tcPr>
            <w:tcW w:w="5130" w:type="dxa"/>
          </w:tcPr>
          <w:p w14:paraId="4F08D4A5" w14:textId="77777777" w:rsidR="00951438" w:rsidRPr="00951438" w:rsidRDefault="00951438" w:rsidP="00951438">
            <w:pPr>
              <w:autoSpaceDE w:val="0"/>
              <w:autoSpaceDN w:val="0"/>
              <w:adjustRightInd w:val="0"/>
              <w:rPr>
                <w:rFonts w:eastAsiaTheme="minorHAnsi"/>
                <w:color w:val="000000"/>
                <w:sz w:val="22"/>
                <w:szCs w:val="22"/>
              </w:rPr>
            </w:pPr>
            <w:r w:rsidRPr="00951438">
              <w:rPr>
                <w:rFonts w:eastAsiaTheme="minorHAnsi"/>
                <w:color w:val="000000"/>
                <w:sz w:val="22"/>
                <w:szCs w:val="22"/>
              </w:rPr>
              <w:t xml:space="preserve">If paid by the employer on domestic services, on behalf of the employee, it is not taxable to the employee, however the employer is denied a deduction for the payment. </w:t>
            </w:r>
          </w:p>
        </w:tc>
      </w:tr>
      <w:tr w:rsidR="00951438" w:rsidRPr="00951438" w14:paraId="3CD7EF3A" w14:textId="77777777" w:rsidTr="00951438">
        <w:tblPrEx>
          <w:tblLook w:val="04A0" w:firstRow="1" w:lastRow="0" w:firstColumn="1" w:lastColumn="0" w:noHBand="0" w:noVBand="1"/>
        </w:tblPrEx>
        <w:trPr>
          <w:trHeight w:val="386"/>
        </w:trPr>
        <w:tc>
          <w:tcPr>
            <w:tcW w:w="3685" w:type="dxa"/>
          </w:tcPr>
          <w:p w14:paraId="48217BD5" w14:textId="77777777" w:rsidR="00951438" w:rsidRPr="00951438" w:rsidRDefault="00951438" w:rsidP="00951438">
            <w:pPr>
              <w:autoSpaceDE w:val="0"/>
              <w:autoSpaceDN w:val="0"/>
              <w:adjustRightInd w:val="0"/>
              <w:rPr>
                <w:rFonts w:eastAsiaTheme="minorHAnsi"/>
                <w:color w:val="000000"/>
                <w:sz w:val="22"/>
                <w:szCs w:val="22"/>
              </w:rPr>
            </w:pPr>
            <w:r w:rsidRPr="00951438">
              <w:rPr>
                <w:rFonts w:eastAsiaTheme="minorHAnsi"/>
                <w:color w:val="000000"/>
                <w:sz w:val="22"/>
                <w:szCs w:val="22"/>
              </w:rPr>
              <w:t xml:space="preserve">Telephone </w:t>
            </w:r>
          </w:p>
        </w:tc>
        <w:tc>
          <w:tcPr>
            <w:tcW w:w="5130" w:type="dxa"/>
          </w:tcPr>
          <w:p w14:paraId="479867EE" w14:textId="77777777" w:rsidR="00951438" w:rsidRPr="00951438" w:rsidRDefault="00951438" w:rsidP="00951438">
            <w:pPr>
              <w:autoSpaceDE w:val="0"/>
              <w:autoSpaceDN w:val="0"/>
              <w:adjustRightInd w:val="0"/>
              <w:rPr>
                <w:rFonts w:eastAsiaTheme="minorHAnsi"/>
                <w:color w:val="000000"/>
                <w:sz w:val="22"/>
                <w:szCs w:val="22"/>
              </w:rPr>
            </w:pPr>
            <w:r w:rsidRPr="00951438">
              <w:rPr>
                <w:rFonts w:eastAsiaTheme="minorHAnsi"/>
                <w:color w:val="000000"/>
                <w:sz w:val="22"/>
                <w:szCs w:val="22"/>
              </w:rPr>
              <w:t xml:space="preserve">Fully taxable to the employee at the employee’s marginal rate of tax unless business related. In addition, the employee can claim a rebate for work related telephone costs. </w:t>
            </w:r>
          </w:p>
        </w:tc>
      </w:tr>
      <w:tr w:rsidR="00951438" w:rsidRPr="00951438" w14:paraId="0E83BFE8" w14:textId="77777777" w:rsidTr="00951438">
        <w:tblPrEx>
          <w:tblLook w:val="04A0" w:firstRow="1" w:lastRow="0" w:firstColumn="1" w:lastColumn="0" w:noHBand="0" w:noVBand="1"/>
        </w:tblPrEx>
        <w:trPr>
          <w:trHeight w:val="549"/>
        </w:trPr>
        <w:tc>
          <w:tcPr>
            <w:tcW w:w="3685" w:type="dxa"/>
          </w:tcPr>
          <w:p w14:paraId="43014EC6" w14:textId="77777777" w:rsidR="00951438" w:rsidRPr="00951438" w:rsidRDefault="00951438" w:rsidP="00951438">
            <w:pPr>
              <w:autoSpaceDE w:val="0"/>
              <w:autoSpaceDN w:val="0"/>
              <w:adjustRightInd w:val="0"/>
              <w:rPr>
                <w:rFonts w:eastAsiaTheme="minorHAnsi"/>
                <w:color w:val="000000"/>
                <w:sz w:val="22"/>
                <w:szCs w:val="22"/>
              </w:rPr>
            </w:pPr>
            <w:r w:rsidRPr="00951438">
              <w:rPr>
                <w:rFonts w:eastAsiaTheme="minorHAnsi"/>
                <w:color w:val="000000"/>
                <w:sz w:val="22"/>
                <w:szCs w:val="22"/>
              </w:rPr>
              <w:t xml:space="preserve">Entertainment </w:t>
            </w:r>
          </w:p>
        </w:tc>
        <w:tc>
          <w:tcPr>
            <w:tcW w:w="5130" w:type="dxa"/>
          </w:tcPr>
          <w:p w14:paraId="2437DF71" w14:textId="77777777" w:rsidR="00951438" w:rsidRPr="00951438" w:rsidRDefault="00951438" w:rsidP="00951438">
            <w:pPr>
              <w:autoSpaceDE w:val="0"/>
              <w:autoSpaceDN w:val="0"/>
              <w:adjustRightInd w:val="0"/>
              <w:rPr>
                <w:rFonts w:eastAsiaTheme="minorHAnsi"/>
                <w:color w:val="000000"/>
                <w:sz w:val="22"/>
                <w:szCs w:val="22"/>
              </w:rPr>
            </w:pPr>
            <w:r w:rsidRPr="00951438">
              <w:rPr>
                <w:rFonts w:eastAsiaTheme="minorHAnsi"/>
                <w:color w:val="000000"/>
                <w:sz w:val="22"/>
                <w:szCs w:val="22"/>
              </w:rPr>
              <w:t xml:space="preserve">If business entertainment expenditure is reimbursed to the employee by the employer, the reimbursement of the actual expenditure is not taxable to the employee. However the employer is denied a deduction for the entertainment expenses. </w:t>
            </w:r>
          </w:p>
        </w:tc>
      </w:tr>
      <w:tr w:rsidR="00951438" w:rsidRPr="00951438" w14:paraId="434436B0" w14:textId="77777777" w:rsidTr="00951438">
        <w:tblPrEx>
          <w:tblLook w:val="04A0" w:firstRow="1" w:lastRow="0" w:firstColumn="1" w:lastColumn="0" w:noHBand="0" w:noVBand="1"/>
        </w:tblPrEx>
        <w:trPr>
          <w:trHeight w:val="226"/>
        </w:trPr>
        <w:tc>
          <w:tcPr>
            <w:tcW w:w="3685" w:type="dxa"/>
          </w:tcPr>
          <w:p w14:paraId="6F65D031" w14:textId="77777777" w:rsidR="00951438" w:rsidRPr="00951438" w:rsidRDefault="00951438" w:rsidP="00951438">
            <w:pPr>
              <w:autoSpaceDE w:val="0"/>
              <w:autoSpaceDN w:val="0"/>
              <w:adjustRightInd w:val="0"/>
              <w:rPr>
                <w:rFonts w:eastAsiaTheme="minorHAnsi"/>
                <w:color w:val="000000"/>
                <w:sz w:val="22"/>
                <w:szCs w:val="22"/>
              </w:rPr>
            </w:pPr>
            <w:r w:rsidRPr="00951438">
              <w:rPr>
                <w:rFonts w:eastAsiaTheme="minorHAnsi"/>
                <w:color w:val="000000"/>
                <w:sz w:val="22"/>
                <w:szCs w:val="22"/>
              </w:rPr>
              <w:t xml:space="preserve">Cash allowances </w:t>
            </w:r>
          </w:p>
        </w:tc>
        <w:tc>
          <w:tcPr>
            <w:tcW w:w="5130" w:type="dxa"/>
          </w:tcPr>
          <w:p w14:paraId="2FF0C862" w14:textId="77777777" w:rsidR="00951438" w:rsidRPr="00951438" w:rsidRDefault="00951438" w:rsidP="00951438">
            <w:pPr>
              <w:autoSpaceDE w:val="0"/>
              <w:autoSpaceDN w:val="0"/>
              <w:adjustRightInd w:val="0"/>
              <w:rPr>
                <w:rFonts w:eastAsiaTheme="minorHAnsi"/>
                <w:color w:val="000000"/>
                <w:sz w:val="22"/>
                <w:szCs w:val="22"/>
              </w:rPr>
            </w:pPr>
            <w:r w:rsidRPr="00951438">
              <w:rPr>
                <w:rFonts w:eastAsiaTheme="minorHAnsi"/>
                <w:color w:val="000000"/>
                <w:sz w:val="22"/>
                <w:szCs w:val="22"/>
              </w:rPr>
              <w:t xml:space="preserve">All allowances paid by the employer are to be fully taxed at the employee’s marginal rate of tax. </w:t>
            </w:r>
          </w:p>
        </w:tc>
      </w:tr>
    </w:tbl>
    <w:p w14:paraId="131689B3" w14:textId="77777777" w:rsidR="00FE1A97" w:rsidRDefault="00FE1A97" w:rsidP="00FE1A97">
      <w:pPr>
        <w:rPr>
          <w:b/>
        </w:rPr>
      </w:pPr>
    </w:p>
    <w:p w14:paraId="7E5945C9" w14:textId="2F7A7A22" w:rsidR="00FE1A97" w:rsidRDefault="00FE1A97" w:rsidP="00FE1A97">
      <w:pPr>
        <w:rPr>
          <w:b/>
        </w:rPr>
      </w:pPr>
    </w:p>
    <w:p w14:paraId="42EC4E5E" w14:textId="57AE1A0E" w:rsidR="00951438" w:rsidRPr="00951438" w:rsidRDefault="00951438" w:rsidP="00951438">
      <w:pPr>
        <w:pStyle w:val="Default"/>
        <w:rPr>
          <w:rFonts w:ascii="Arial" w:eastAsia="Times New Roman" w:hAnsi="Arial" w:cs="Arial"/>
          <w:b/>
          <w:color w:val="auto"/>
          <w:sz w:val="22"/>
          <w:szCs w:val="22"/>
        </w:rPr>
      </w:pPr>
      <w:r w:rsidRPr="00951438">
        <w:rPr>
          <w:rFonts w:ascii="Arial" w:eastAsia="Times New Roman" w:hAnsi="Arial" w:cs="Arial"/>
          <w:b/>
          <w:color w:val="auto"/>
          <w:sz w:val="22"/>
          <w:szCs w:val="22"/>
        </w:rPr>
        <w:t>Social security payments</w:t>
      </w:r>
    </w:p>
    <w:p w14:paraId="552073EA" w14:textId="77777777" w:rsidR="00951438" w:rsidRPr="00951438" w:rsidRDefault="00951438" w:rsidP="00951438">
      <w:pPr>
        <w:pStyle w:val="Default"/>
        <w:rPr>
          <w:rFonts w:ascii="Arial" w:eastAsia="Times New Roman" w:hAnsi="Arial" w:cs="Arial"/>
          <w:color w:val="auto"/>
          <w:sz w:val="22"/>
          <w:szCs w:val="22"/>
        </w:rPr>
      </w:pPr>
    </w:p>
    <w:p w14:paraId="7E8755B8" w14:textId="18C61ECA" w:rsidR="00951438" w:rsidRPr="00951438" w:rsidRDefault="00951438" w:rsidP="00951438">
      <w:pPr>
        <w:pStyle w:val="Default"/>
        <w:rPr>
          <w:rFonts w:ascii="Arial" w:eastAsia="Times New Roman" w:hAnsi="Arial" w:cs="Arial"/>
          <w:color w:val="auto"/>
          <w:sz w:val="22"/>
          <w:szCs w:val="22"/>
        </w:rPr>
      </w:pPr>
      <w:r w:rsidRPr="00951438">
        <w:rPr>
          <w:rFonts w:ascii="Arial" w:eastAsia="Times New Roman" w:hAnsi="Arial" w:cs="Arial"/>
          <w:color w:val="auto"/>
          <w:sz w:val="22"/>
          <w:szCs w:val="22"/>
        </w:rPr>
        <w:t>An employer of 15 or more persons must register with an authorised superannuation fund</w:t>
      </w:r>
      <w:r w:rsidR="004039EF">
        <w:rPr>
          <w:rFonts w:ascii="Arial" w:eastAsia="Times New Roman" w:hAnsi="Arial" w:cs="Arial"/>
          <w:color w:val="auto"/>
          <w:sz w:val="22"/>
          <w:szCs w:val="22"/>
        </w:rPr>
        <w:t xml:space="preserve"> (generally NAS Fund for private sector)</w:t>
      </w:r>
      <w:r w:rsidRPr="00951438">
        <w:rPr>
          <w:rFonts w:ascii="Arial" w:eastAsia="Times New Roman" w:hAnsi="Arial" w:cs="Arial"/>
          <w:color w:val="auto"/>
          <w:sz w:val="22"/>
          <w:szCs w:val="22"/>
        </w:rPr>
        <w:t xml:space="preserve">, unless operating in an exempt industry (currently certain agricultural sectors). Membership is compulsory for PNG citizens who are continuously employed for three months, and, is voluntary for non-citizens. </w:t>
      </w:r>
    </w:p>
    <w:p w14:paraId="741F71A9" w14:textId="77777777" w:rsidR="004039EF" w:rsidRDefault="004039EF" w:rsidP="00951438">
      <w:pPr>
        <w:pStyle w:val="Default"/>
        <w:rPr>
          <w:rFonts w:ascii="Arial" w:eastAsia="Times New Roman" w:hAnsi="Arial" w:cs="Arial"/>
          <w:color w:val="auto"/>
          <w:sz w:val="22"/>
          <w:szCs w:val="22"/>
        </w:rPr>
      </w:pPr>
    </w:p>
    <w:p w14:paraId="28F0716D" w14:textId="0397DDAA" w:rsidR="00951438" w:rsidRPr="00951438" w:rsidRDefault="00951438" w:rsidP="00951438">
      <w:pPr>
        <w:pStyle w:val="Default"/>
        <w:rPr>
          <w:rFonts w:ascii="Arial" w:eastAsia="Times New Roman" w:hAnsi="Arial" w:cs="Arial"/>
          <w:color w:val="auto"/>
          <w:sz w:val="22"/>
          <w:szCs w:val="22"/>
        </w:rPr>
      </w:pPr>
      <w:r w:rsidRPr="00951438">
        <w:rPr>
          <w:rFonts w:ascii="Arial" w:eastAsia="Times New Roman" w:hAnsi="Arial" w:cs="Arial"/>
          <w:color w:val="auto"/>
          <w:sz w:val="22"/>
          <w:szCs w:val="22"/>
        </w:rPr>
        <w:t xml:space="preserve">Compulsory contributions are remitted by the employer at the following rates, as a percentage of gross basic salary (excluding overtime, bonus and commission): </w:t>
      </w:r>
    </w:p>
    <w:p w14:paraId="3333A6AA" w14:textId="77777777" w:rsidR="00951438" w:rsidRDefault="00951438" w:rsidP="00951438">
      <w:pPr>
        <w:pStyle w:val="Default"/>
        <w:spacing w:after="70"/>
        <w:rPr>
          <w:rFonts w:ascii="Arial" w:eastAsia="Times New Roman" w:hAnsi="Arial" w:cs="Arial"/>
          <w:color w:val="auto"/>
          <w:sz w:val="22"/>
          <w:szCs w:val="22"/>
        </w:rPr>
      </w:pPr>
    </w:p>
    <w:p w14:paraId="2B3C268F" w14:textId="590BC28E" w:rsidR="00951438" w:rsidRPr="00951438" w:rsidRDefault="00951438" w:rsidP="00951438">
      <w:pPr>
        <w:pStyle w:val="Default"/>
        <w:spacing w:after="70"/>
        <w:rPr>
          <w:rFonts w:ascii="Arial" w:eastAsia="Times New Roman" w:hAnsi="Arial" w:cs="Arial"/>
          <w:color w:val="auto"/>
          <w:sz w:val="22"/>
          <w:szCs w:val="22"/>
        </w:rPr>
      </w:pPr>
      <w:r w:rsidRPr="00951438">
        <w:rPr>
          <w:rFonts w:ascii="Arial" w:eastAsia="Times New Roman" w:hAnsi="Arial" w:cs="Arial"/>
          <w:color w:val="auto"/>
          <w:sz w:val="22"/>
          <w:szCs w:val="22"/>
        </w:rPr>
        <w:t xml:space="preserve">6.0% – employee contributions </w:t>
      </w:r>
    </w:p>
    <w:p w14:paraId="5E33AEF5" w14:textId="7558555B" w:rsidR="00951438" w:rsidRDefault="00951438" w:rsidP="00951438">
      <w:pPr>
        <w:pStyle w:val="Default"/>
        <w:rPr>
          <w:rFonts w:ascii="Arial" w:eastAsia="Times New Roman" w:hAnsi="Arial" w:cs="Arial"/>
          <w:color w:val="auto"/>
          <w:sz w:val="22"/>
          <w:szCs w:val="22"/>
        </w:rPr>
      </w:pPr>
      <w:r w:rsidRPr="00951438">
        <w:rPr>
          <w:rFonts w:ascii="Arial" w:eastAsia="Times New Roman" w:hAnsi="Arial" w:cs="Arial"/>
          <w:color w:val="auto"/>
          <w:sz w:val="22"/>
          <w:szCs w:val="22"/>
        </w:rPr>
        <w:t>8.4% – employer contributions</w:t>
      </w:r>
    </w:p>
    <w:p w14:paraId="2EF721A7" w14:textId="59D2C035" w:rsidR="00951438" w:rsidRDefault="00951438" w:rsidP="00951438">
      <w:pPr>
        <w:pStyle w:val="Default"/>
        <w:rPr>
          <w:rFonts w:ascii="Arial" w:eastAsia="Times New Roman" w:hAnsi="Arial" w:cs="Arial"/>
          <w:color w:val="auto"/>
          <w:sz w:val="22"/>
          <w:szCs w:val="22"/>
        </w:rPr>
      </w:pPr>
    </w:p>
    <w:p w14:paraId="0524A878" w14:textId="6A5FB6B1" w:rsidR="00951438" w:rsidRDefault="00951438" w:rsidP="00951438">
      <w:pPr>
        <w:pStyle w:val="Default"/>
        <w:rPr>
          <w:rFonts w:ascii="Arial" w:eastAsia="Times New Roman" w:hAnsi="Arial" w:cs="Arial"/>
          <w:color w:val="auto"/>
          <w:sz w:val="22"/>
          <w:szCs w:val="22"/>
        </w:rPr>
      </w:pPr>
    </w:p>
    <w:p w14:paraId="753CCD8C" w14:textId="407DAE9B" w:rsidR="00951438" w:rsidRDefault="00951438" w:rsidP="00951438">
      <w:pPr>
        <w:pStyle w:val="Default"/>
        <w:rPr>
          <w:rFonts w:ascii="Arial" w:hAnsi="Arial" w:cs="Arial"/>
          <w:b/>
          <w:bCs/>
          <w:sz w:val="22"/>
          <w:szCs w:val="22"/>
        </w:rPr>
      </w:pPr>
      <w:r w:rsidRPr="00951438">
        <w:rPr>
          <w:rFonts w:ascii="Arial" w:hAnsi="Arial" w:cs="Arial"/>
          <w:b/>
          <w:bCs/>
          <w:sz w:val="22"/>
          <w:szCs w:val="22"/>
        </w:rPr>
        <w:t>Responsibility for paying salary or wages tax</w:t>
      </w:r>
    </w:p>
    <w:p w14:paraId="30A04FD8" w14:textId="77777777" w:rsidR="00951438" w:rsidRPr="00951438" w:rsidRDefault="00951438" w:rsidP="00951438">
      <w:pPr>
        <w:pStyle w:val="Default"/>
        <w:rPr>
          <w:rFonts w:ascii="Arial" w:hAnsi="Arial" w:cs="Arial"/>
          <w:sz w:val="22"/>
          <w:szCs w:val="22"/>
        </w:rPr>
      </w:pPr>
    </w:p>
    <w:p w14:paraId="38A65A23" w14:textId="5C646D68" w:rsidR="00951438" w:rsidRDefault="00951438" w:rsidP="00951438">
      <w:pPr>
        <w:pStyle w:val="Default"/>
        <w:rPr>
          <w:rFonts w:ascii="Arial" w:eastAsia="Times New Roman" w:hAnsi="Arial" w:cs="Arial"/>
          <w:color w:val="auto"/>
          <w:sz w:val="22"/>
          <w:szCs w:val="22"/>
        </w:rPr>
      </w:pPr>
      <w:r w:rsidRPr="00951438">
        <w:rPr>
          <w:rFonts w:ascii="Arial" w:eastAsia="Times New Roman" w:hAnsi="Arial" w:cs="Arial"/>
          <w:color w:val="auto"/>
          <w:sz w:val="22"/>
          <w:szCs w:val="22"/>
        </w:rPr>
        <w:t xml:space="preserve">Employers are responsible for paying the salary or wages tax liabilities of their employees. Failure to do so by the prescribed due date (the </w:t>
      </w:r>
      <w:r>
        <w:rPr>
          <w:rFonts w:ascii="Arial" w:eastAsia="Times New Roman" w:hAnsi="Arial" w:cs="Arial"/>
          <w:color w:val="auto"/>
          <w:sz w:val="22"/>
          <w:szCs w:val="22"/>
        </w:rPr>
        <w:t>7th</w:t>
      </w:r>
      <w:r w:rsidRPr="00951438">
        <w:rPr>
          <w:rFonts w:ascii="Arial" w:eastAsia="Times New Roman" w:hAnsi="Arial" w:cs="Arial"/>
          <w:color w:val="auto"/>
          <w:sz w:val="22"/>
          <w:szCs w:val="22"/>
        </w:rPr>
        <w:t xml:space="preserve"> day of the month following that in which the salary was paid) will result in penalties being levied. </w:t>
      </w:r>
    </w:p>
    <w:p w14:paraId="6E05D6EA" w14:textId="77777777" w:rsidR="00951438" w:rsidRPr="00951438" w:rsidRDefault="00951438" w:rsidP="00951438">
      <w:pPr>
        <w:pStyle w:val="Default"/>
        <w:rPr>
          <w:rFonts w:ascii="Arial" w:eastAsia="Times New Roman" w:hAnsi="Arial" w:cs="Arial"/>
          <w:color w:val="auto"/>
          <w:sz w:val="22"/>
          <w:szCs w:val="22"/>
        </w:rPr>
      </w:pPr>
    </w:p>
    <w:p w14:paraId="74F09FDB" w14:textId="60DCC84E" w:rsidR="00951438" w:rsidRPr="00951438" w:rsidRDefault="00951438" w:rsidP="00951438">
      <w:pPr>
        <w:pStyle w:val="Default"/>
        <w:rPr>
          <w:rFonts w:ascii="Arial" w:eastAsia="Times New Roman" w:hAnsi="Arial" w:cs="Arial"/>
          <w:color w:val="auto"/>
          <w:sz w:val="22"/>
          <w:szCs w:val="22"/>
        </w:rPr>
      </w:pPr>
      <w:r w:rsidRPr="00951438">
        <w:rPr>
          <w:rFonts w:ascii="Arial" w:eastAsia="Times New Roman" w:hAnsi="Arial" w:cs="Arial"/>
          <w:color w:val="auto"/>
          <w:sz w:val="22"/>
          <w:szCs w:val="22"/>
        </w:rPr>
        <w:t>Company directors are personally liable for failing to ensure their company complies with its salary or wages tax obligations. Directors are potentially liable for a penalty equal to the amount of salary or wages tax that the company ought to have remitted to the IRC.</w:t>
      </w:r>
    </w:p>
    <w:p w14:paraId="08AC2B9E" w14:textId="58CF72BA" w:rsidR="00951438" w:rsidRDefault="00951438" w:rsidP="00FE1A97">
      <w:pPr>
        <w:rPr>
          <w:b/>
          <w:sz w:val="22"/>
          <w:szCs w:val="22"/>
        </w:rPr>
      </w:pPr>
    </w:p>
    <w:p w14:paraId="7995331A" w14:textId="77777777" w:rsidR="00FE1A97" w:rsidRPr="00FE1A97" w:rsidRDefault="00FE1A97" w:rsidP="00FE1A97">
      <w:pPr>
        <w:rPr>
          <w:b/>
        </w:rPr>
      </w:pPr>
    </w:p>
    <w:p w14:paraId="7B123BB9" w14:textId="61CA0D0A" w:rsidR="001351F1" w:rsidRPr="001351F1" w:rsidRDefault="001351F1" w:rsidP="001351F1">
      <w:pPr>
        <w:pStyle w:val="ListParagraph"/>
        <w:numPr>
          <w:ilvl w:val="0"/>
          <w:numId w:val="12"/>
        </w:numPr>
        <w:rPr>
          <w:rFonts w:ascii="Arial" w:hAnsi="Arial" w:cs="Arial"/>
          <w:b/>
        </w:rPr>
      </w:pPr>
      <w:r w:rsidRPr="001351F1">
        <w:rPr>
          <w:rFonts w:ascii="Arial" w:hAnsi="Arial" w:cs="Arial"/>
          <w:b/>
        </w:rPr>
        <w:t>Income Tax</w:t>
      </w:r>
      <w:r w:rsidR="007C1208">
        <w:rPr>
          <w:rFonts w:ascii="Arial" w:hAnsi="Arial" w:cs="Arial"/>
          <w:b/>
        </w:rPr>
        <w:t xml:space="preserve"> for Company</w:t>
      </w:r>
      <w:r w:rsidRPr="001351F1">
        <w:rPr>
          <w:rFonts w:ascii="Arial" w:hAnsi="Arial" w:cs="Arial"/>
          <w:b/>
        </w:rPr>
        <w:t>:</w:t>
      </w:r>
    </w:p>
    <w:p w14:paraId="2BB5939B" w14:textId="65EE1E6D" w:rsidR="00411A64" w:rsidRPr="00865957" w:rsidRDefault="00411A64" w:rsidP="005F3A5C">
      <w:pPr>
        <w:rPr>
          <w:sz w:val="22"/>
          <w:szCs w:val="22"/>
        </w:rPr>
      </w:pPr>
      <w:r w:rsidRPr="00865957">
        <w:rPr>
          <w:sz w:val="22"/>
          <w:szCs w:val="22"/>
        </w:rPr>
        <w:t>PNG tax year is the calendar year and all taxpayers are required to lodge returns based on 31</w:t>
      </w:r>
      <w:r w:rsidRPr="00865957">
        <w:rPr>
          <w:sz w:val="22"/>
          <w:szCs w:val="22"/>
          <w:vertAlign w:val="superscript"/>
        </w:rPr>
        <w:t>st</w:t>
      </w:r>
      <w:r w:rsidRPr="00865957">
        <w:rPr>
          <w:sz w:val="22"/>
          <w:szCs w:val="22"/>
        </w:rPr>
        <w:t xml:space="preserve"> December year and unless approval is obtained from the PNG Internal Revenue Commission to adopt a different balance date.</w:t>
      </w:r>
    </w:p>
    <w:p w14:paraId="6FEC6617" w14:textId="77777777" w:rsidR="00411A64" w:rsidRPr="00865957" w:rsidRDefault="00411A64" w:rsidP="00411A64">
      <w:pPr>
        <w:ind w:left="720"/>
        <w:rPr>
          <w:sz w:val="22"/>
          <w:szCs w:val="22"/>
        </w:rPr>
      </w:pPr>
    </w:p>
    <w:p w14:paraId="5B1576D1" w14:textId="0F7D1764" w:rsidR="00411A64" w:rsidRDefault="005F3A5C" w:rsidP="005F3A5C">
      <w:pPr>
        <w:rPr>
          <w:sz w:val="22"/>
          <w:szCs w:val="22"/>
        </w:rPr>
      </w:pPr>
      <w:r>
        <w:rPr>
          <w:sz w:val="22"/>
          <w:szCs w:val="22"/>
        </w:rPr>
        <w:t>Current</w:t>
      </w:r>
      <w:r w:rsidR="00411A64" w:rsidRPr="00865957">
        <w:rPr>
          <w:sz w:val="22"/>
          <w:szCs w:val="22"/>
        </w:rPr>
        <w:t xml:space="preserve"> </w:t>
      </w:r>
      <w:r>
        <w:rPr>
          <w:sz w:val="22"/>
          <w:szCs w:val="22"/>
        </w:rPr>
        <w:t xml:space="preserve">income </w:t>
      </w:r>
      <w:r w:rsidR="00411A64" w:rsidRPr="00865957">
        <w:rPr>
          <w:sz w:val="22"/>
          <w:szCs w:val="22"/>
        </w:rPr>
        <w:t>tax rates are</w:t>
      </w:r>
      <w:r>
        <w:rPr>
          <w:sz w:val="22"/>
          <w:szCs w:val="22"/>
        </w:rPr>
        <w:t xml:space="preserve"> 30% for resident company and 48% for non-resident company. </w:t>
      </w:r>
    </w:p>
    <w:p w14:paraId="4CF70FC0" w14:textId="3D2409F9" w:rsidR="001351F1" w:rsidRDefault="001351F1" w:rsidP="005F3A5C">
      <w:pPr>
        <w:rPr>
          <w:sz w:val="22"/>
          <w:szCs w:val="22"/>
        </w:rPr>
      </w:pPr>
    </w:p>
    <w:p w14:paraId="2194893C" w14:textId="77777777" w:rsidR="001351F1" w:rsidRPr="00865957" w:rsidRDefault="001351F1" w:rsidP="001351F1">
      <w:pPr>
        <w:rPr>
          <w:sz w:val="22"/>
          <w:szCs w:val="22"/>
        </w:rPr>
      </w:pPr>
      <w:r w:rsidRPr="00865957">
        <w:rPr>
          <w:sz w:val="22"/>
          <w:szCs w:val="22"/>
        </w:rPr>
        <w:t>Provisional tax based on the last return lodged is payable on current years taxable profits and paid in the three equal instalments, 30</w:t>
      </w:r>
      <w:r w:rsidRPr="00865957">
        <w:rPr>
          <w:sz w:val="22"/>
          <w:szCs w:val="22"/>
          <w:vertAlign w:val="superscript"/>
        </w:rPr>
        <w:t>th</w:t>
      </w:r>
      <w:r w:rsidRPr="00865957">
        <w:rPr>
          <w:sz w:val="22"/>
          <w:szCs w:val="22"/>
        </w:rPr>
        <w:t xml:space="preserve"> April, 31</w:t>
      </w:r>
      <w:r w:rsidRPr="00865957">
        <w:rPr>
          <w:sz w:val="22"/>
          <w:szCs w:val="22"/>
          <w:vertAlign w:val="superscript"/>
        </w:rPr>
        <w:t>st</w:t>
      </w:r>
      <w:r w:rsidRPr="00865957">
        <w:rPr>
          <w:sz w:val="22"/>
          <w:szCs w:val="22"/>
        </w:rPr>
        <w:t xml:space="preserve"> July and 31</w:t>
      </w:r>
      <w:r w:rsidRPr="00865957">
        <w:rPr>
          <w:sz w:val="22"/>
          <w:szCs w:val="22"/>
          <w:vertAlign w:val="superscript"/>
        </w:rPr>
        <w:t>st</w:t>
      </w:r>
      <w:r w:rsidRPr="00865957">
        <w:rPr>
          <w:sz w:val="22"/>
          <w:szCs w:val="22"/>
        </w:rPr>
        <w:t xml:space="preserve"> October.  Applications can be lodged to vary provisional tax based on the estimated income with penalties for substantial underestimate unless adequate reasons are given.</w:t>
      </w:r>
    </w:p>
    <w:p w14:paraId="1DF87004" w14:textId="29AF5974" w:rsidR="001351F1" w:rsidRDefault="001351F1" w:rsidP="001351F1">
      <w:pPr>
        <w:rPr>
          <w:sz w:val="22"/>
          <w:szCs w:val="22"/>
        </w:rPr>
      </w:pPr>
    </w:p>
    <w:p w14:paraId="4707751B" w14:textId="77777777" w:rsidR="00E07340" w:rsidRDefault="00E07340" w:rsidP="001351F1">
      <w:pPr>
        <w:rPr>
          <w:sz w:val="22"/>
          <w:szCs w:val="22"/>
        </w:rPr>
      </w:pPr>
    </w:p>
    <w:p w14:paraId="2A9F6B67" w14:textId="2E5314A0" w:rsidR="001351F1" w:rsidRPr="00F335EA" w:rsidRDefault="004039EF" w:rsidP="00932BFD">
      <w:pPr>
        <w:pStyle w:val="ListParagraph"/>
        <w:numPr>
          <w:ilvl w:val="0"/>
          <w:numId w:val="12"/>
        </w:numPr>
        <w:rPr>
          <w:rFonts w:ascii="Arial" w:hAnsi="Arial" w:cs="Arial"/>
          <w:b/>
        </w:rPr>
      </w:pPr>
      <w:r w:rsidRPr="00F335EA">
        <w:rPr>
          <w:rFonts w:ascii="Arial" w:hAnsi="Arial" w:cs="Arial"/>
          <w:b/>
        </w:rPr>
        <w:t>Goods and Services Tax</w:t>
      </w:r>
    </w:p>
    <w:p w14:paraId="7150D680" w14:textId="6CDB2F5F" w:rsidR="00E07340" w:rsidRDefault="00E07340" w:rsidP="00F335EA">
      <w:pPr>
        <w:pStyle w:val="Default"/>
        <w:rPr>
          <w:rFonts w:ascii="Arial" w:hAnsi="Arial" w:cs="Arial"/>
          <w:b/>
          <w:bCs/>
          <w:color w:val="auto"/>
          <w:sz w:val="22"/>
          <w:szCs w:val="22"/>
        </w:rPr>
      </w:pPr>
      <w:r w:rsidRPr="00F335EA">
        <w:rPr>
          <w:rFonts w:ascii="Arial" w:hAnsi="Arial" w:cs="Arial"/>
          <w:b/>
          <w:bCs/>
          <w:color w:val="auto"/>
          <w:sz w:val="22"/>
          <w:szCs w:val="22"/>
        </w:rPr>
        <w:t xml:space="preserve">Rate of GST </w:t>
      </w:r>
    </w:p>
    <w:p w14:paraId="2FB53B2F" w14:textId="77777777" w:rsidR="00F335EA" w:rsidRPr="00F335EA" w:rsidRDefault="00F335EA" w:rsidP="00F335EA">
      <w:pPr>
        <w:pStyle w:val="Default"/>
        <w:rPr>
          <w:rFonts w:ascii="Arial" w:hAnsi="Arial" w:cs="Arial"/>
          <w:color w:val="auto"/>
          <w:sz w:val="22"/>
          <w:szCs w:val="22"/>
        </w:rPr>
      </w:pPr>
    </w:p>
    <w:p w14:paraId="4541EF06" w14:textId="77777777" w:rsidR="00E07340" w:rsidRPr="00F335EA" w:rsidRDefault="00E07340" w:rsidP="00F335EA">
      <w:pPr>
        <w:pStyle w:val="Default"/>
        <w:rPr>
          <w:rFonts w:ascii="Arial" w:hAnsi="Arial" w:cs="Arial"/>
          <w:color w:val="auto"/>
          <w:sz w:val="22"/>
          <w:szCs w:val="22"/>
        </w:rPr>
      </w:pPr>
      <w:r w:rsidRPr="00F335EA">
        <w:rPr>
          <w:rFonts w:ascii="Arial" w:hAnsi="Arial" w:cs="Arial"/>
          <w:color w:val="auto"/>
          <w:sz w:val="22"/>
          <w:szCs w:val="22"/>
        </w:rPr>
        <w:t xml:space="preserve">Goods and services tax (GST) is imposed at the rate of 10% and applies to the majority of goods and services supplied in PNG as well as to most imported goods and services. </w:t>
      </w:r>
    </w:p>
    <w:p w14:paraId="6BF2D132" w14:textId="77777777" w:rsidR="00F335EA" w:rsidRDefault="00F335EA" w:rsidP="00F335EA">
      <w:pPr>
        <w:pStyle w:val="Default"/>
        <w:rPr>
          <w:rFonts w:ascii="Arial" w:hAnsi="Arial" w:cs="Arial"/>
          <w:b/>
          <w:bCs/>
          <w:color w:val="auto"/>
          <w:sz w:val="22"/>
          <w:szCs w:val="22"/>
        </w:rPr>
      </w:pPr>
    </w:p>
    <w:p w14:paraId="0D7BA335" w14:textId="196C5482" w:rsidR="00E07340" w:rsidRPr="00F335EA" w:rsidRDefault="00E07340" w:rsidP="00F335EA">
      <w:pPr>
        <w:pStyle w:val="Default"/>
        <w:rPr>
          <w:rFonts w:ascii="Arial" w:hAnsi="Arial" w:cs="Arial"/>
          <w:color w:val="auto"/>
          <w:sz w:val="22"/>
          <w:szCs w:val="22"/>
        </w:rPr>
      </w:pPr>
      <w:r w:rsidRPr="00F335EA">
        <w:rPr>
          <w:rFonts w:ascii="Arial" w:hAnsi="Arial" w:cs="Arial"/>
          <w:b/>
          <w:bCs/>
          <w:color w:val="auto"/>
          <w:sz w:val="22"/>
          <w:szCs w:val="22"/>
        </w:rPr>
        <w:t xml:space="preserve">Registration </w:t>
      </w:r>
    </w:p>
    <w:p w14:paraId="6FDB70B8" w14:textId="77777777" w:rsidR="00F335EA" w:rsidRDefault="00F335EA" w:rsidP="00F335EA">
      <w:pPr>
        <w:pStyle w:val="Default"/>
        <w:rPr>
          <w:rFonts w:ascii="Arial" w:hAnsi="Arial" w:cs="Arial"/>
          <w:color w:val="auto"/>
          <w:sz w:val="22"/>
          <w:szCs w:val="22"/>
        </w:rPr>
      </w:pPr>
    </w:p>
    <w:p w14:paraId="5B30DC8D" w14:textId="185BF348" w:rsidR="00E07340" w:rsidRDefault="00E07340" w:rsidP="00F335EA">
      <w:pPr>
        <w:pStyle w:val="Default"/>
        <w:rPr>
          <w:rFonts w:ascii="Arial" w:hAnsi="Arial" w:cs="Arial"/>
          <w:color w:val="auto"/>
          <w:sz w:val="22"/>
          <w:szCs w:val="22"/>
        </w:rPr>
      </w:pPr>
      <w:r w:rsidRPr="00F335EA">
        <w:rPr>
          <w:rFonts w:ascii="Arial" w:hAnsi="Arial" w:cs="Arial"/>
          <w:color w:val="auto"/>
          <w:sz w:val="22"/>
          <w:szCs w:val="22"/>
        </w:rPr>
        <w:t>Any person who carries on an activity, continuously or regularly, involving the supply of goods or services to another person for a consideration, is required to register if those supplies (not being exempt supplies) exceed or are expected to exceed K250,000 in any 12</w:t>
      </w:r>
      <w:r w:rsidR="00F335EA">
        <w:rPr>
          <w:rFonts w:ascii="Arial" w:hAnsi="Arial" w:cs="Arial"/>
          <w:color w:val="auto"/>
          <w:sz w:val="22"/>
          <w:szCs w:val="22"/>
        </w:rPr>
        <w:t>-</w:t>
      </w:r>
      <w:r w:rsidRPr="00F335EA">
        <w:rPr>
          <w:rFonts w:ascii="Arial" w:hAnsi="Arial" w:cs="Arial"/>
          <w:color w:val="auto"/>
          <w:sz w:val="22"/>
          <w:szCs w:val="22"/>
        </w:rPr>
        <w:t xml:space="preserve">month period. </w:t>
      </w:r>
    </w:p>
    <w:p w14:paraId="63DB1234" w14:textId="77777777" w:rsidR="00F335EA" w:rsidRPr="00F335EA" w:rsidRDefault="00F335EA" w:rsidP="00F335EA">
      <w:pPr>
        <w:pStyle w:val="Default"/>
        <w:rPr>
          <w:rFonts w:ascii="Arial" w:hAnsi="Arial" w:cs="Arial"/>
          <w:color w:val="auto"/>
          <w:sz w:val="22"/>
          <w:szCs w:val="22"/>
        </w:rPr>
      </w:pPr>
    </w:p>
    <w:p w14:paraId="7C8A052E" w14:textId="1A90D964" w:rsidR="00E07340" w:rsidRDefault="00E07340" w:rsidP="00F335EA">
      <w:pPr>
        <w:pStyle w:val="Default"/>
        <w:rPr>
          <w:rFonts w:ascii="Arial" w:hAnsi="Arial" w:cs="Arial"/>
          <w:color w:val="auto"/>
          <w:sz w:val="22"/>
          <w:szCs w:val="22"/>
        </w:rPr>
      </w:pPr>
      <w:r w:rsidRPr="00F335EA">
        <w:rPr>
          <w:rFonts w:ascii="Arial" w:hAnsi="Arial" w:cs="Arial"/>
          <w:color w:val="auto"/>
          <w:sz w:val="22"/>
          <w:szCs w:val="22"/>
        </w:rPr>
        <w:t xml:space="preserve">Specified groups of companies may elect to be registered as one entity. Equally a company may separately register its various branches or divisions. </w:t>
      </w:r>
    </w:p>
    <w:p w14:paraId="41F088B3" w14:textId="77777777" w:rsidR="00F335EA" w:rsidRPr="00F335EA" w:rsidRDefault="00F335EA" w:rsidP="00F335EA">
      <w:pPr>
        <w:pStyle w:val="Default"/>
        <w:rPr>
          <w:rFonts w:ascii="Arial" w:hAnsi="Arial" w:cs="Arial"/>
          <w:color w:val="auto"/>
          <w:sz w:val="22"/>
          <w:szCs w:val="22"/>
        </w:rPr>
      </w:pPr>
    </w:p>
    <w:p w14:paraId="55F5AE7F" w14:textId="43B91DC8" w:rsidR="00E07340" w:rsidRDefault="00E07340" w:rsidP="00F335EA">
      <w:pPr>
        <w:pStyle w:val="Default"/>
        <w:rPr>
          <w:rFonts w:ascii="Arial" w:hAnsi="Arial" w:cs="Arial"/>
          <w:b/>
          <w:bCs/>
          <w:color w:val="auto"/>
          <w:sz w:val="22"/>
          <w:szCs w:val="22"/>
        </w:rPr>
      </w:pPr>
      <w:r w:rsidRPr="00F335EA">
        <w:rPr>
          <w:rFonts w:ascii="Arial" w:hAnsi="Arial" w:cs="Arial"/>
          <w:b/>
          <w:bCs/>
          <w:color w:val="auto"/>
          <w:sz w:val="22"/>
          <w:szCs w:val="22"/>
        </w:rPr>
        <w:t xml:space="preserve">Output GST (GST on sales) </w:t>
      </w:r>
    </w:p>
    <w:p w14:paraId="2FB86AEF" w14:textId="77777777" w:rsidR="00F335EA" w:rsidRPr="00F335EA" w:rsidRDefault="00F335EA" w:rsidP="00F335EA">
      <w:pPr>
        <w:pStyle w:val="Default"/>
        <w:rPr>
          <w:rFonts w:ascii="Arial" w:hAnsi="Arial" w:cs="Arial"/>
          <w:color w:val="auto"/>
          <w:sz w:val="22"/>
          <w:szCs w:val="22"/>
        </w:rPr>
      </w:pPr>
    </w:p>
    <w:p w14:paraId="4D34107C" w14:textId="26C44CFF" w:rsidR="00E07340" w:rsidRDefault="00E07340" w:rsidP="00F335EA">
      <w:pPr>
        <w:pStyle w:val="Default"/>
        <w:rPr>
          <w:rFonts w:ascii="Arial" w:hAnsi="Arial" w:cs="Arial"/>
          <w:color w:val="auto"/>
          <w:sz w:val="22"/>
          <w:szCs w:val="22"/>
        </w:rPr>
      </w:pPr>
      <w:r w:rsidRPr="00F335EA">
        <w:rPr>
          <w:rFonts w:ascii="Arial" w:hAnsi="Arial" w:cs="Arial"/>
          <w:color w:val="auto"/>
          <w:sz w:val="22"/>
          <w:szCs w:val="22"/>
        </w:rPr>
        <w:t xml:space="preserve">There are three categories of sales: </w:t>
      </w:r>
    </w:p>
    <w:p w14:paraId="53CA90C0" w14:textId="77777777" w:rsidR="00F335EA" w:rsidRPr="00F335EA" w:rsidRDefault="00F335EA" w:rsidP="00F335EA">
      <w:pPr>
        <w:pStyle w:val="Default"/>
        <w:rPr>
          <w:rFonts w:ascii="Arial" w:hAnsi="Arial" w:cs="Arial"/>
          <w:color w:val="auto"/>
          <w:sz w:val="22"/>
          <w:szCs w:val="22"/>
        </w:rPr>
      </w:pPr>
    </w:p>
    <w:p w14:paraId="1B739519" w14:textId="141E0B1E" w:rsidR="00E07340" w:rsidRDefault="00E07340" w:rsidP="00F335EA">
      <w:pPr>
        <w:pStyle w:val="Default"/>
        <w:ind w:left="360"/>
        <w:rPr>
          <w:rFonts w:ascii="Arial" w:hAnsi="Arial" w:cs="Arial"/>
          <w:color w:val="auto"/>
          <w:sz w:val="22"/>
          <w:szCs w:val="22"/>
        </w:rPr>
      </w:pPr>
      <w:r w:rsidRPr="00F335EA">
        <w:rPr>
          <w:rFonts w:ascii="Arial" w:hAnsi="Arial" w:cs="Arial"/>
          <w:color w:val="auto"/>
          <w:sz w:val="22"/>
          <w:szCs w:val="22"/>
        </w:rPr>
        <w:t>1. Standard sales</w:t>
      </w:r>
      <w:r w:rsidR="00F335EA">
        <w:rPr>
          <w:rFonts w:ascii="Arial" w:hAnsi="Arial" w:cs="Arial"/>
          <w:color w:val="auto"/>
          <w:sz w:val="22"/>
          <w:szCs w:val="22"/>
        </w:rPr>
        <w:t xml:space="preserve"> - </w:t>
      </w:r>
      <w:r w:rsidRPr="00F335EA">
        <w:rPr>
          <w:rFonts w:ascii="Arial" w:hAnsi="Arial" w:cs="Arial"/>
          <w:color w:val="auto"/>
          <w:sz w:val="22"/>
          <w:szCs w:val="22"/>
        </w:rPr>
        <w:t xml:space="preserve">This applies to the majority of goods and services sold by a registered entity. Input tax relating to these sales is fully creditable against output GST (subject to a few exceptions). </w:t>
      </w:r>
    </w:p>
    <w:p w14:paraId="5F9D3A10" w14:textId="77777777" w:rsidR="00F335EA" w:rsidRPr="00F335EA" w:rsidRDefault="00F335EA" w:rsidP="00F335EA">
      <w:pPr>
        <w:pStyle w:val="Default"/>
        <w:ind w:left="360"/>
        <w:rPr>
          <w:rFonts w:ascii="Arial" w:hAnsi="Arial" w:cs="Arial"/>
          <w:color w:val="auto"/>
          <w:sz w:val="22"/>
          <w:szCs w:val="22"/>
        </w:rPr>
      </w:pPr>
    </w:p>
    <w:p w14:paraId="3C2BAF35" w14:textId="77777777" w:rsidR="00E07340" w:rsidRPr="00F335EA" w:rsidRDefault="00E07340" w:rsidP="00F335EA">
      <w:pPr>
        <w:pStyle w:val="Default"/>
        <w:ind w:left="360"/>
        <w:rPr>
          <w:rFonts w:ascii="Arial" w:hAnsi="Arial" w:cs="Arial"/>
          <w:color w:val="auto"/>
          <w:sz w:val="22"/>
          <w:szCs w:val="22"/>
        </w:rPr>
      </w:pPr>
      <w:r w:rsidRPr="00F335EA">
        <w:rPr>
          <w:rFonts w:ascii="Arial" w:hAnsi="Arial" w:cs="Arial"/>
          <w:color w:val="auto"/>
          <w:sz w:val="22"/>
          <w:szCs w:val="22"/>
        </w:rPr>
        <w:t xml:space="preserve">2. Zero-rated sales </w:t>
      </w:r>
    </w:p>
    <w:p w14:paraId="243C2C91" w14:textId="77777777" w:rsidR="00F335EA" w:rsidRDefault="00F335EA" w:rsidP="00F335EA">
      <w:pPr>
        <w:pStyle w:val="Default"/>
        <w:ind w:left="360"/>
        <w:rPr>
          <w:rFonts w:ascii="Arial" w:hAnsi="Arial" w:cs="Arial"/>
          <w:color w:val="auto"/>
          <w:sz w:val="22"/>
          <w:szCs w:val="22"/>
        </w:rPr>
      </w:pPr>
    </w:p>
    <w:p w14:paraId="72ED56E6" w14:textId="338689FF" w:rsidR="00E07340" w:rsidRDefault="00E07340" w:rsidP="00F335EA">
      <w:pPr>
        <w:pStyle w:val="Default"/>
        <w:ind w:left="360"/>
        <w:rPr>
          <w:rFonts w:ascii="Arial" w:hAnsi="Arial" w:cs="Arial"/>
          <w:color w:val="auto"/>
          <w:sz w:val="22"/>
          <w:szCs w:val="22"/>
        </w:rPr>
      </w:pPr>
      <w:r w:rsidRPr="00F335EA">
        <w:rPr>
          <w:rFonts w:ascii="Arial" w:hAnsi="Arial" w:cs="Arial"/>
          <w:color w:val="auto"/>
          <w:sz w:val="22"/>
          <w:szCs w:val="22"/>
        </w:rPr>
        <w:t xml:space="preserve">Some goods and services will be subject to a zero rate of GST. These include: </w:t>
      </w:r>
    </w:p>
    <w:p w14:paraId="4B68D4E0" w14:textId="77777777" w:rsidR="00F335EA" w:rsidRPr="00F335EA" w:rsidRDefault="00F335EA" w:rsidP="00F335EA">
      <w:pPr>
        <w:pStyle w:val="Default"/>
        <w:ind w:left="360"/>
        <w:rPr>
          <w:rFonts w:ascii="Arial" w:hAnsi="Arial" w:cs="Arial"/>
          <w:color w:val="auto"/>
          <w:sz w:val="22"/>
          <w:szCs w:val="22"/>
        </w:rPr>
      </w:pPr>
    </w:p>
    <w:p w14:paraId="162B9CCF" w14:textId="79E917B2" w:rsidR="00E07340" w:rsidRPr="00F335EA" w:rsidRDefault="00E07340" w:rsidP="00F335EA">
      <w:pPr>
        <w:pStyle w:val="Default"/>
        <w:numPr>
          <w:ilvl w:val="0"/>
          <w:numId w:val="13"/>
        </w:numPr>
        <w:spacing w:after="67"/>
        <w:rPr>
          <w:rFonts w:ascii="Arial" w:hAnsi="Arial" w:cs="Arial"/>
          <w:color w:val="auto"/>
          <w:sz w:val="22"/>
          <w:szCs w:val="22"/>
        </w:rPr>
      </w:pPr>
      <w:r w:rsidRPr="00F335EA">
        <w:rPr>
          <w:rFonts w:ascii="Arial" w:hAnsi="Arial" w:cs="Arial"/>
          <w:color w:val="auto"/>
          <w:sz w:val="22"/>
          <w:szCs w:val="22"/>
        </w:rPr>
        <w:t xml:space="preserve">exported goods and services </w:t>
      </w:r>
    </w:p>
    <w:p w14:paraId="222B705E" w14:textId="7E3EFFEC" w:rsidR="00E07340" w:rsidRPr="00F335EA" w:rsidRDefault="00E07340" w:rsidP="00F335EA">
      <w:pPr>
        <w:pStyle w:val="Default"/>
        <w:numPr>
          <w:ilvl w:val="0"/>
          <w:numId w:val="13"/>
        </w:numPr>
        <w:spacing w:after="67"/>
        <w:rPr>
          <w:rFonts w:ascii="Arial" w:hAnsi="Arial" w:cs="Arial"/>
          <w:color w:val="auto"/>
          <w:sz w:val="22"/>
          <w:szCs w:val="22"/>
        </w:rPr>
      </w:pPr>
      <w:r w:rsidRPr="00F335EA">
        <w:rPr>
          <w:rFonts w:ascii="Arial" w:hAnsi="Arial" w:cs="Arial"/>
          <w:color w:val="auto"/>
          <w:sz w:val="22"/>
          <w:szCs w:val="22"/>
        </w:rPr>
        <w:t xml:space="preserve">consumable goods for consumption outside PNG (e.g. aircraft and ship supplies) </w:t>
      </w:r>
    </w:p>
    <w:p w14:paraId="77827E57" w14:textId="51ECEF1A" w:rsidR="00E07340" w:rsidRPr="00F335EA" w:rsidRDefault="00E07340" w:rsidP="00F335EA">
      <w:pPr>
        <w:pStyle w:val="Default"/>
        <w:numPr>
          <w:ilvl w:val="0"/>
          <w:numId w:val="13"/>
        </w:numPr>
        <w:spacing w:after="67"/>
        <w:rPr>
          <w:rFonts w:ascii="Arial" w:hAnsi="Arial" w:cs="Arial"/>
          <w:color w:val="auto"/>
          <w:sz w:val="22"/>
          <w:szCs w:val="22"/>
        </w:rPr>
      </w:pPr>
      <w:r w:rsidRPr="00F335EA">
        <w:rPr>
          <w:rFonts w:ascii="Arial" w:hAnsi="Arial" w:cs="Arial"/>
          <w:color w:val="auto"/>
          <w:sz w:val="22"/>
          <w:szCs w:val="22"/>
        </w:rPr>
        <w:t xml:space="preserve">the supply of prescription drugs, medical prostheses and prescription lenses </w:t>
      </w:r>
    </w:p>
    <w:p w14:paraId="2969385F" w14:textId="7BAD99EB" w:rsidR="00E07340" w:rsidRPr="00F335EA" w:rsidRDefault="00E07340" w:rsidP="00F335EA">
      <w:pPr>
        <w:pStyle w:val="Default"/>
        <w:numPr>
          <w:ilvl w:val="0"/>
          <w:numId w:val="13"/>
        </w:numPr>
        <w:spacing w:after="67"/>
        <w:rPr>
          <w:rFonts w:ascii="Arial" w:hAnsi="Arial" w:cs="Arial"/>
          <w:color w:val="auto"/>
          <w:sz w:val="22"/>
          <w:szCs w:val="22"/>
        </w:rPr>
      </w:pPr>
      <w:r w:rsidRPr="00F335EA">
        <w:rPr>
          <w:rFonts w:ascii="Arial" w:hAnsi="Arial" w:cs="Arial"/>
          <w:color w:val="auto"/>
          <w:sz w:val="22"/>
          <w:szCs w:val="22"/>
        </w:rPr>
        <w:t xml:space="preserve">the supply of unprocessed crude oil from sources in PNG is zero rated for GST purposes </w:t>
      </w:r>
    </w:p>
    <w:p w14:paraId="44A46476" w14:textId="4DF6B905" w:rsidR="00E07340" w:rsidRPr="00F335EA" w:rsidRDefault="00E07340" w:rsidP="00F335EA">
      <w:pPr>
        <w:pStyle w:val="Default"/>
        <w:numPr>
          <w:ilvl w:val="0"/>
          <w:numId w:val="13"/>
        </w:numPr>
        <w:rPr>
          <w:rFonts w:ascii="Arial" w:hAnsi="Arial" w:cs="Arial"/>
          <w:color w:val="auto"/>
          <w:sz w:val="22"/>
          <w:szCs w:val="22"/>
        </w:rPr>
      </w:pPr>
      <w:r w:rsidRPr="00F335EA">
        <w:rPr>
          <w:rFonts w:ascii="Arial" w:hAnsi="Arial" w:cs="Arial"/>
          <w:color w:val="auto"/>
          <w:sz w:val="22"/>
          <w:szCs w:val="22"/>
        </w:rPr>
        <w:t xml:space="preserve">the supply of accommodation and travel within PNG to a person who purchases the supply while they are outside PNG is zero rated for GST purposes. </w:t>
      </w:r>
    </w:p>
    <w:p w14:paraId="0401162A" w14:textId="77777777" w:rsidR="00F335EA" w:rsidRDefault="00F335EA" w:rsidP="00F335EA">
      <w:pPr>
        <w:pStyle w:val="Default"/>
        <w:ind w:left="360"/>
        <w:rPr>
          <w:rFonts w:ascii="Arial" w:hAnsi="Arial" w:cs="Arial"/>
          <w:color w:val="auto"/>
          <w:sz w:val="22"/>
          <w:szCs w:val="22"/>
        </w:rPr>
      </w:pPr>
    </w:p>
    <w:p w14:paraId="5CF84614" w14:textId="52B4FAA9" w:rsidR="00E07340" w:rsidRPr="00F335EA" w:rsidRDefault="00E07340" w:rsidP="00F335EA">
      <w:pPr>
        <w:pStyle w:val="Default"/>
        <w:ind w:left="360"/>
        <w:rPr>
          <w:rFonts w:ascii="Arial" w:hAnsi="Arial" w:cs="Arial"/>
          <w:color w:val="auto"/>
          <w:sz w:val="22"/>
          <w:szCs w:val="22"/>
        </w:rPr>
      </w:pPr>
      <w:r w:rsidRPr="00F335EA">
        <w:rPr>
          <w:rFonts w:ascii="Arial" w:hAnsi="Arial" w:cs="Arial"/>
          <w:color w:val="auto"/>
          <w:sz w:val="22"/>
          <w:szCs w:val="22"/>
        </w:rPr>
        <w:t xml:space="preserve">Input tax relating to these sales is fully deductible against output GST (subject to a few exceptions). </w:t>
      </w:r>
    </w:p>
    <w:p w14:paraId="20FAD187" w14:textId="77777777" w:rsidR="00F335EA" w:rsidRDefault="00F335EA" w:rsidP="00F335EA">
      <w:pPr>
        <w:pStyle w:val="Default"/>
        <w:ind w:left="360"/>
        <w:rPr>
          <w:rFonts w:ascii="Arial" w:hAnsi="Arial" w:cs="Arial"/>
          <w:color w:val="auto"/>
          <w:sz w:val="22"/>
          <w:szCs w:val="22"/>
        </w:rPr>
      </w:pPr>
    </w:p>
    <w:p w14:paraId="3BA566E0" w14:textId="3E553232" w:rsidR="00E07340" w:rsidRDefault="00F335EA" w:rsidP="00F335EA">
      <w:pPr>
        <w:pStyle w:val="Default"/>
        <w:ind w:left="360"/>
        <w:rPr>
          <w:rFonts w:ascii="Arial" w:hAnsi="Arial" w:cs="Arial"/>
          <w:color w:val="auto"/>
          <w:sz w:val="22"/>
          <w:szCs w:val="22"/>
        </w:rPr>
      </w:pPr>
      <w:r>
        <w:rPr>
          <w:rFonts w:ascii="Arial" w:hAnsi="Arial" w:cs="Arial"/>
          <w:color w:val="auto"/>
          <w:sz w:val="22"/>
          <w:szCs w:val="22"/>
        </w:rPr>
        <w:t xml:space="preserve">3. </w:t>
      </w:r>
      <w:r w:rsidR="00E07340" w:rsidRPr="00F335EA">
        <w:rPr>
          <w:rFonts w:ascii="Arial" w:hAnsi="Arial" w:cs="Arial"/>
          <w:color w:val="auto"/>
          <w:sz w:val="22"/>
          <w:szCs w:val="22"/>
        </w:rPr>
        <w:t xml:space="preserve">Exempt sales </w:t>
      </w:r>
    </w:p>
    <w:p w14:paraId="5D974198" w14:textId="77777777" w:rsidR="00F335EA" w:rsidRPr="00F335EA" w:rsidRDefault="00F335EA" w:rsidP="00F335EA">
      <w:pPr>
        <w:pStyle w:val="Default"/>
        <w:ind w:left="720"/>
        <w:rPr>
          <w:rFonts w:ascii="Arial" w:hAnsi="Arial" w:cs="Arial"/>
          <w:color w:val="auto"/>
          <w:sz w:val="22"/>
          <w:szCs w:val="22"/>
        </w:rPr>
      </w:pPr>
    </w:p>
    <w:p w14:paraId="536871A5" w14:textId="69CB3A91" w:rsidR="00E07340" w:rsidRDefault="00E07340" w:rsidP="00F335EA">
      <w:pPr>
        <w:pStyle w:val="Default"/>
        <w:ind w:left="360"/>
        <w:rPr>
          <w:rFonts w:ascii="Arial" w:hAnsi="Arial" w:cs="Arial"/>
          <w:color w:val="auto"/>
          <w:sz w:val="22"/>
          <w:szCs w:val="22"/>
        </w:rPr>
      </w:pPr>
      <w:r w:rsidRPr="00F335EA">
        <w:rPr>
          <w:rFonts w:ascii="Arial" w:hAnsi="Arial" w:cs="Arial"/>
          <w:color w:val="auto"/>
          <w:sz w:val="22"/>
          <w:szCs w:val="22"/>
        </w:rPr>
        <w:t xml:space="preserve">There is a fairly small category of exempt sales which include: </w:t>
      </w:r>
    </w:p>
    <w:p w14:paraId="3492C5E9" w14:textId="77777777" w:rsidR="00F335EA" w:rsidRPr="00F335EA" w:rsidRDefault="00F335EA" w:rsidP="00F335EA">
      <w:pPr>
        <w:pStyle w:val="Default"/>
        <w:ind w:left="360"/>
        <w:rPr>
          <w:rFonts w:ascii="Arial" w:hAnsi="Arial" w:cs="Arial"/>
          <w:color w:val="auto"/>
          <w:sz w:val="22"/>
          <w:szCs w:val="22"/>
        </w:rPr>
      </w:pPr>
    </w:p>
    <w:p w14:paraId="68DCB1B6" w14:textId="4919C326" w:rsidR="00E07340" w:rsidRPr="00F335EA" w:rsidRDefault="00E07340" w:rsidP="00F335EA">
      <w:pPr>
        <w:pStyle w:val="Default"/>
        <w:numPr>
          <w:ilvl w:val="0"/>
          <w:numId w:val="13"/>
        </w:numPr>
        <w:spacing w:after="67"/>
        <w:rPr>
          <w:rFonts w:ascii="Arial" w:hAnsi="Arial" w:cs="Arial"/>
          <w:color w:val="auto"/>
          <w:sz w:val="22"/>
          <w:szCs w:val="22"/>
        </w:rPr>
      </w:pPr>
      <w:r w:rsidRPr="00F335EA">
        <w:rPr>
          <w:rFonts w:ascii="Arial" w:hAnsi="Arial" w:cs="Arial"/>
          <w:color w:val="auto"/>
          <w:sz w:val="22"/>
          <w:szCs w:val="22"/>
        </w:rPr>
        <w:t xml:space="preserve">the supply of financial services </w:t>
      </w:r>
    </w:p>
    <w:p w14:paraId="4F9E1B62" w14:textId="320387B7" w:rsidR="00F335EA" w:rsidRPr="00F335EA" w:rsidRDefault="00F335EA" w:rsidP="00F335EA">
      <w:pPr>
        <w:pStyle w:val="Default"/>
        <w:numPr>
          <w:ilvl w:val="0"/>
          <w:numId w:val="13"/>
        </w:numPr>
        <w:spacing w:after="67"/>
        <w:rPr>
          <w:rFonts w:ascii="Arial" w:hAnsi="Arial" w:cs="Arial"/>
          <w:color w:val="auto"/>
          <w:sz w:val="22"/>
          <w:szCs w:val="22"/>
        </w:rPr>
      </w:pPr>
      <w:r>
        <w:rPr>
          <w:rFonts w:ascii="Arial" w:hAnsi="Arial" w:cs="Arial"/>
          <w:color w:val="auto"/>
          <w:sz w:val="22"/>
          <w:szCs w:val="22"/>
        </w:rPr>
        <w:t>t</w:t>
      </w:r>
      <w:r w:rsidRPr="00F335EA">
        <w:rPr>
          <w:rFonts w:ascii="Arial" w:hAnsi="Arial" w:cs="Arial"/>
          <w:color w:val="auto"/>
          <w:sz w:val="22"/>
          <w:szCs w:val="22"/>
        </w:rPr>
        <w:t>he supply of educational services</w:t>
      </w:r>
    </w:p>
    <w:p w14:paraId="5C19385E" w14:textId="09D54C51" w:rsidR="00F335EA" w:rsidRPr="00F335EA" w:rsidRDefault="00F335EA" w:rsidP="00F335EA">
      <w:pPr>
        <w:pStyle w:val="Default"/>
        <w:numPr>
          <w:ilvl w:val="0"/>
          <w:numId w:val="13"/>
        </w:numPr>
        <w:spacing w:after="67"/>
        <w:rPr>
          <w:rFonts w:ascii="Arial" w:hAnsi="Arial" w:cs="Arial"/>
          <w:color w:val="auto"/>
          <w:sz w:val="22"/>
          <w:szCs w:val="22"/>
        </w:rPr>
      </w:pPr>
      <w:r>
        <w:rPr>
          <w:rFonts w:ascii="Arial" w:hAnsi="Arial" w:cs="Arial"/>
          <w:color w:val="auto"/>
          <w:sz w:val="22"/>
          <w:szCs w:val="22"/>
        </w:rPr>
        <w:t>t</w:t>
      </w:r>
      <w:r w:rsidRPr="00F335EA">
        <w:rPr>
          <w:rFonts w:ascii="Arial" w:hAnsi="Arial" w:cs="Arial"/>
          <w:color w:val="auto"/>
          <w:sz w:val="22"/>
          <w:szCs w:val="22"/>
        </w:rPr>
        <w:t>he supply of medical services</w:t>
      </w:r>
    </w:p>
    <w:p w14:paraId="427350A8" w14:textId="56DD7214" w:rsidR="00F335EA" w:rsidRPr="00F335EA" w:rsidRDefault="00F335EA" w:rsidP="00F335EA">
      <w:pPr>
        <w:pStyle w:val="Default"/>
        <w:numPr>
          <w:ilvl w:val="0"/>
          <w:numId w:val="13"/>
        </w:numPr>
        <w:spacing w:after="67"/>
        <w:rPr>
          <w:rFonts w:ascii="Arial" w:hAnsi="Arial" w:cs="Arial"/>
          <w:color w:val="auto"/>
          <w:sz w:val="22"/>
          <w:szCs w:val="22"/>
        </w:rPr>
      </w:pPr>
      <w:r w:rsidRPr="00F335EA">
        <w:rPr>
          <w:rFonts w:ascii="Arial" w:hAnsi="Arial" w:cs="Arial"/>
          <w:color w:val="auto"/>
          <w:sz w:val="22"/>
          <w:szCs w:val="22"/>
        </w:rPr>
        <w:t xml:space="preserve">the supply of housing or a motor vehicle to an employee as part of an employment contract. </w:t>
      </w:r>
    </w:p>
    <w:p w14:paraId="53D0CD3A" w14:textId="77777777" w:rsidR="00F335EA" w:rsidRDefault="00F335EA" w:rsidP="00F335EA">
      <w:pPr>
        <w:pStyle w:val="Default"/>
        <w:ind w:left="360"/>
        <w:rPr>
          <w:rFonts w:ascii="Arial" w:hAnsi="Arial" w:cs="Arial"/>
          <w:sz w:val="22"/>
          <w:szCs w:val="22"/>
        </w:rPr>
      </w:pPr>
    </w:p>
    <w:p w14:paraId="658D7A00" w14:textId="0C5E18E5" w:rsidR="00F335EA" w:rsidRDefault="00F335EA" w:rsidP="00F335EA">
      <w:pPr>
        <w:pStyle w:val="Default"/>
        <w:ind w:left="360"/>
        <w:rPr>
          <w:rFonts w:ascii="Arial" w:hAnsi="Arial" w:cs="Arial"/>
          <w:sz w:val="22"/>
          <w:szCs w:val="22"/>
        </w:rPr>
      </w:pPr>
      <w:r w:rsidRPr="00F335EA">
        <w:rPr>
          <w:rFonts w:ascii="Arial" w:hAnsi="Arial" w:cs="Arial"/>
          <w:sz w:val="22"/>
          <w:szCs w:val="22"/>
        </w:rPr>
        <w:t>In contrast to zero-rated sales, a registered entity making exempt sales is not entitled to any deduction for input taxes. Where an entity makes both exempt and taxable sales, the deduction for input taxes has to be apportioned.</w:t>
      </w:r>
    </w:p>
    <w:p w14:paraId="10EDAF1C" w14:textId="77777777" w:rsidR="00F335EA" w:rsidRPr="00F335EA" w:rsidRDefault="00F335EA" w:rsidP="00F335EA">
      <w:pPr>
        <w:pStyle w:val="Default"/>
        <w:ind w:left="360"/>
        <w:rPr>
          <w:rFonts w:ascii="Arial" w:hAnsi="Arial" w:cs="Arial"/>
          <w:color w:val="auto"/>
          <w:sz w:val="22"/>
          <w:szCs w:val="22"/>
        </w:rPr>
      </w:pPr>
    </w:p>
    <w:p w14:paraId="1CD6EE42" w14:textId="77777777" w:rsidR="00F335EA" w:rsidRPr="00F335EA" w:rsidRDefault="00F335EA" w:rsidP="00F335EA">
      <w:pPr>
        <w:pStyle w:val="Default"/>
        <w:ind w:left="360"/>
        <w:rPr>
          <w:rFonts w:ascii="Arial" w:hAnsi="Arial" w:cs="Arial"/>
          <w:color w:val="auto"/>
          <w:sz w:val="22"/>
          <w:szCs w:val="22"/>
        </w:rPr>
      </w:pPr>
      <w:r w:rsidRPr="00F335EA">
        <w:rPr>
          <w:rFonts w:ascii="Arial" w:hAnsi="Arial" w:cs="Arial"/>
          <w:b/>
          <w:bCs/>
          <w:color w:val="auto"/>
          <w:sz w:val="22"/>
          <w:szCs w:val="22"/>
        </w:rPr>
        <w:t xml:space="preserve">Input GST (GST on purchases) </w:t>
      </w:r>
    </w:p>
    <w:p w14:paraId="47940FED" w14:textId="77777777" w:rsidR="00F335EA" w:rsidRDefault="00F335EA" w:rsidP="00F335EA">
      <w:pPr>
        <w:pStyle w:val="Default"/>
        <w:ind w:left="360"/>
        <w:rPr>
          <w:rFonts w:ascii="Arial" w:hAnsi="Arial" w:cs="Arial"/>
          <w:color w:val="auto"/>
          <w:sz w:val="22"/>
          <w:szCs w:val="22"/>
        </w:rPr>
      </w:pPr>
    </w:p>
    <w:p w14:paraId="7C7F213B" w14:textId="09637534" w:rsidR="00F335EA" w:rsidRPr="00F335EA" w:rsidRDefault="00F335EA" w:rsidP="00F335EA">
      <w:pPr>
        <w:pStyle w:val="Default"/>
        <w:ind w:left="360"/>
        <w:rPr>
          <w:rFonts w:ascii="Arial" w:hAnsi="Arial" w:cs="Arial"/>
          <w:color w:val="auto"/>
          <w:sz w:val="22"/>
          <w:szCs w:val="22"/>
        </w:rPr>
      </w:pPr>
      <w:r w:rsidRPr="00F335EA">
        <w:rPr>
          <w:rFonts w:ascii="Arial" w:hAnsi="Arial" w:cs="Arial"/>
          <w:color w:val="auto"/>
          <w:sz w:val="22"/>
          <w:szCs w:val="22"/>
        </w:rPr>
        <w:t xml:space="preserve">GST is imposed on virtually all goods and services (with the exception of those treated as zero-rated or exempt sales (see above)). There are three broad categories: </w:t>
      </w:r>
    </w:p>
    <w:p w14:paraId="3308EAC9" w14:textId="77777777" w:rsidR="000573B5" w:rsidRDefault="000573B5" w:rsidP="000573B5">
      <w:pPr>
        <w:pStyle w:val="Default"/>
        <w:ind w:left="360"/>
        <w:rPr>
          <w:rFonts w:ascii="Arial" w:hAnsi="Arial" w:cs="Arial"/>
          <w:color w:val="auto"/>
          <w:sz w:val="22"/>
          <w:szCs w:val="22"/>
        </w:rPr>
      </w:pPr>
    </w:p>
    <w:p w14:paraId="342ACAAC" w14:textId="3126A807" w:rsidR="00F335EA" w:rsidRPr="00F335EA" w:rsidRDefault="00F335EA" w:rsidP="000573B5">
      <w:pPr>
        <w:pStyle w:val="Default"/>
        <w:ind w:left="360"/>
        <w:rPr>
          <w:rFonts w:ascii="Arial" w:hAnsi="Arial" w:cs="Arial"/>
          <w:color w:val="auto"/>
          <w:sz w:val="22"/>
          <w:szCs w:val="22"/>
        </w:rPr>
      </w:pPr>
      <w:r w:rsidRPr="00F335EA">
        <w:rPr>
          <w:rFonts w:ascii="Arial" w:hAnsi="Arial" w:cs="Arial"/>
          <w:color w:val="auto"/>
          <w:sz w:val="22"/>
          <w:szCs w:val="22"/>
        </w:rPr>
        <w:t xml:space="preserve">1. Imported goods </w:t>
      </w:r>
    </w:p>
    <w:p w14:paraId="17C03712" w14:textId="77777777" w:rsidR="000573B5" w:rsidRDefault="000573B5" w:rsidP="000573B5">
      <w:pPr>
        <w:pStyle w:val="Default"/>
        <w:ind w:left="360"/>
        <w:rPr>
          <w:rFonts w:ascii="Arial" w:hAnsi="Arial" w:cs="Arial"/>
          <w:color w:val="auto"/>
          <w:sz w:val="22"/>
          <w:szCs w:val="22"/>
        </w:rPr>
      </w:pPr>
    </w:p>
    <w:p w14:paraId="68ADF43C" w14:textId="7823FD7A" w:rsidR="00F335EA" w:rsidRPr="00F335EA" w:rsidRDefault="00F335EA" w:rsidP="000573B5">
      <w:pPr>
        <w:pStyle w:val="Default"/>
        <w:ind w:left="360"/>
        <w:rPr>
          <w:rFonts w:ascii="Arial" w:hAnsi="Arial" w:cs="Arial"/>
          <w:color w:val="auto"/>
          <w:sz w:val="22"/>
          <w:szCs w:val="22"/>
        </w:rPr>
      </w:pPr>
      <w:r w:rsidRPr="00F335EA">
        <w:rPr>
          <w:rFonts w:ascii="Arial" w:hAnsi="Arial" w:cs="Arial"/>
          <w:color w:val="auto"/>
          <w:sz w:val="22"/>
          <w:szCs w:val="22"/>
        </w:rPr>
        <w:t xml:space="preserve">GST is imposed on the CIF value of the goods including, where applicable, any customs duty and excise. The GST is collected by PNG Customs. </w:t>
      </w:r>
    </w:p>
    <w:p w14:paraId="51A2D8DD" w14:textId="77777777" w:rsidR="000573B5" w:rsidRDefault="000573B5" w:rsidP="000573B5">
      <w:pPr>
        <w:pStyle w:val="Default"/>
        <w:ind w:left="360"/>
        <w:rPr>
          <w:rFonts w:ascii="Arial" w:hAnsi="Arial" w:cs="Arial"/>
          <w:color w:val="auto"/>
          <w:sz w:val="22"/>
          <w:szCs w:val="22"/>
        </w:rPr>
      </w:pPr>
    </w:p>
    <w:p w14:paraId="747F9422" w14:textId="440D69DB" w:rsidR="00F335EA" w:rsidRPr="00F335EA" w:rsidRDefault="00F335EA" w:rsidP="000573B5">
      <w:pPr>
        <w:pStyle w:val="Default"/>
        <w:ind w:left="360"/>
        <w:rPr>
          <w:rFonts w:ascii="Arial" w:hAnsi="Arial" w:cs="Arial"/>
          <w:color w:val="auto"/>
          <w:sz w:val="22"/>
          <w:szCs w:val="22"/>
        </w:rPr>
      </w:pPr>
      <w:r w:rsidRPr="00F335EA">
        <w:rPr>
          <w:rFonts w:ascii="Arial" w:hAnsi="Arial" w:cs="Arial"/>
          <w:color w:val="auto"/>
          <w:sz w:val="22"/>
          <w:szCs w:val="22"/>
        </w:rPr>
        <w:t xml:space="preserve">2. Imported services </w:t>
      </w:r>
    </w:p>
    <w:p w14:paraId="49B4389B" w14:textId="77777777" w:rsidR="000573B5" w:rsidRDefault="000573B5" w:rsidP="000573B5">
      <w:pPr>
        <w:pStyle w:val="Default"/>
        <w:ind w:left="360"/>
        <w:rPr>
          <w:rFonts w:ascii="Arial" w:hAnsi="Arial" w:cs="Arial"/>
          <w:color w:val="auto"/>
          <w:sz w:val="22"/>
          <w:szCs w:val="22"/>
        </w:rPr>
      </w:pPr>
    </w:p>
    <w:p w14:paraId="5D62E398" w14:textId="6F667C1C" w:rsidR="00F335EA" w:rsidRPr="00F335EA" w:rsidRDefault="00F335EA" w:rsidP="000573B5">
      <w:pPr>
        <w:pStyle w:val="Default"/>
        <w:ind w:left="360"/>
        <w:rPr>
          <w:rFonts w:ascii="Arial" w:hAnsi="Arial" w:cs="Arial"/>
          <w:color w:val="auto"/>
          <w:sz w:val="22"/>
          <w:szCs w:val="22"/>
        </w:rPr>
      </w:pPr>
      <w:r w:rsidRPr="00F335EA">
        <w:rPr>
          <w:rFonts w:ascii="Arial" w:hAnsi="Arial" w:cs="Arial"/>
          <w:color w:val="auto"/>
          <w:sz w:val="22"/>
          <w:szCs w:val="22"/>
        </w:rPr>
        <w:t xml:space="preserve">Where services are performed outside PNG for the use or benefit within PNG of a person resident in PNG, the recipient of the services is required to impose and remit the GST to the IRC on a reverse charge basis. </w:t>
      </w:r>
    </w:p>
    <w:p w14:paraId="71598CE9" w14:textId="77777777" w:rsidR="000573B5" w:rsidRDefault="000573B5" w:rsidP="000573B5">
      <w:pPr>
        <w:pStyle w:val="Default"/>
        <w:ind w:left="360"/>
        <w:rPr>
          <w:rFonts w:ascii="Arial" w:hAnsi="Arial" w:cs="Arial"/>
          <w:color w:val="auto"/>
          <w:sz w:val="22"/>
          <w:szCs w:val="22"/>
        </w:rPr>
      </w:pPr>
    </w:p>
    <w:p w14:paraId="35C2392D" w14:textId="6E955137" w:rsidR="00F335EA" w:rsidRPr="000573B5" w:rsidRDefault="00F335EA" w:rsidP="000573B5">
      <w:pPr>
        <w:pStyle w:val="Default"/>
        <w:ind w:left="360"/>
        <w:rPr>
          <w:rFonts w:ascii="Arial" w:hAnsi="Arial" w:cs="Arial"/>
          <w:color w:val="auto"/>
          <w:sz w:val="22"/>
          <w:szCs w:val="22"/>
        </w:rPr>
      </w:pPr>
      <w:r w:rsidRPr="000573B5">
        <w:rPr>
          <w:rFonts w:ascii="Arial" w:hAnsi="Arial" w:cs="Arial"/>
          <w:color w:val="auto"/>
          <w:sz w:val="22"/>
          <w:szCs w:val="22"/>
        </w:rPr>
        <w:t xml:space="preserve">The GST paid in this way is also eligible as an input credit, so the majority of businesses are unaffected by this requirement; only businesses making exempt sales are ineligible to claim an input credit. </w:t>
      </w:r>
    </w:p>
    <w:p w14:paraId="24926BE5" w14:textId="77777777" w:rsidR="000573B5" w:rsidRDefault="000573B5" w:rsidP="000573B5">
      <w:pPr>
        <w:pStyle w:val="Default"/>
        <w:ind w:left="360"/>
        <w:rPr>
          <w:rFonts w:ascii="Arial" w:hAnsi="Arial" w:cs="Arial"/>
          <w:color w:val="auto"/>
          <w:sz w:val="22"/>
          <w:szCs w:val="22"/>
        </w:rPr>
      </w:pPr>
    </w:p>
    <w:p w14:paraId="77184FF5" w14:textId="137FB012" w:rsidR="00F335EA" w:rsidRPr="00F335EA" w:rsidRDefault="00F335EA" w:rsidP="000573B5">
      <w:pPr>
        <w:pStyle w:val="Default"/>
        <w:ind w:left="360"/>
        <w:rPr>
          <w:rFonts w:ascii="Arial" w:hAnsi="Arial" w:cs="Arial"/>
          <w:color w:val="auto"/>
          <w:sz w:val="22"/>
          <w:szCs w:val="22"/>
        </w:rPr>
      </w:pPr>
      <w:r w:rsidRPr="00F335EA">
        <w:rPr>
          <w:rFonts w:ascii="Arial" w:hAnsi="Arial" w:cs="Arial"/>
          <w:color w:val="auto"/>
          <w:sz w:val="22"/>
          <w:szCs w:val="22"/>
        </w:rPr>
        <w:t xml:space="preserve">3. Locally purchased goods and services </w:t>
      </w:r>
    </w:p>
    <w:p w14:paraId="1F87D217" w14:textId="77777777" w:rsidR="000573B5" w:rsidRDefault="000573B5" w:rsidP="000573B5">
      <w:pPr>
        <w:pStyle w:val="Default"/>
        <w:ind w:left="360"/>
        <w:rPr>
          <w:rFonts w:ascii="Arial" w:hAnsi="Arial" w:cs="Arial"/>
          <w:color w:val="auto"/>
          <w:sz w:val="22"/>
          <w:szCs w:val="22"/>
        </w:rPr>
      </w:pPr>
    </w:p>
    <w:p w14:paraId="7AC05752" w14:textId="2042035D" w:rsidR="00F335EA" w:rsidRPr="00F335EA" w:rsidRDefault="00F335EA" w:rsidP="000573B5">
      <w:pPr>
        <w:pStyle w:val="Default"/>
        <w:ind w:left="360"/>
        <w:rPr>
          <w:rFonts w:ascii="Arial" w:hAnsi="Arial" w:cs="Arial"/>
          <w:color w:val="auto"/>
          <w:sz w:val="22"/>
          <w:szCs w:val="22"/>
        </w:rPr>
      </w:pPr>
      <w:r w:rsidRPr="00F335EA">
        <w:rPr>
          <w:rFonts w:ascii="Arial" w:hAnsi="Arial" w:cs="Arial"/>
          <w:color w:val="auto"/>
          <w:sz w:val="22"/>
          <w:szCs w:val="22"/>
        </w:rPr>
        <w:t xml:space="preserve">GST is charged by the supplier, where the supplier is registered for GST purposes. </w:t>
      </w:r>
    </w:p>
    <w:p w14:paraId="53250EA5" w14:textId="77777777" w:rsidR="000573B5" w:rsidRDefault="000573B5" w:rsidP="000573B5">
      <w:pPr>
        <w:pStyle w:val="Default"/>
        <w:ind w:left="360"/>
        <w:rPr>
          <w:rFonts w:ascii="Arial" w:hAnsi="Arial" w:cs="Arial"/>
          <w:color w:val="auto"/>
          <w:sz w:val="22"/>
          <w:szCs w:val="22"/>
        </w:rPr>
      </w:pPr>
    </w:p>
    <w:p w14:paraId="3FE2E597" w14:textId="693FE445" w:rsidR="00F335EA" w:rsidRPr="000573B5" w:rsidRDefault="00F335EA" w:rsidP="000573B5">
      <w:pPr>
        <w:pStyle w:val="Default"/>
        <w:ind w:left="360"/>
        <w:rPr>
          <w:rFonts w:ascii="Arial" w:hAnsi="Arial" w:cs="Arial"/>
          <w:color w:val="auto"/>
          <w:sz w:val="22"/>
          <w:szCs w:val="22"/>
        </w:rPr>
      </w:pPr>
      <w:r w:rsidRPr="000573B5">
        <w:rPr>
          <w:rFonts w:ascii="Arial" w:hAnsi="Arial" w:cs="Arial"/>
          <w:b/>
          <w:bCs/>
          <w:color w:val="auto"/>
          <w:sz w:val="22"/>
          <w:szCs w:val="22"/>
        </w:rPr>
        <w:t xml:space="preserve">Import GST deferral scheme </w:t>
      </w:r>
    </w:p>
    <w:p w14:paraId="235E74D2" w14:textId="77777777" w:rsidR="000573B5" w:rsidRDefault="000573B5" w:rsidP="000573B5">
      <w:pPr>
        <w:pStyle w:val="Default"/>
        <w:ind w:left="360"/>
        <w:rPr>
          <w:rFonts w:ascii="Arial" w:hAnsi="Arial" w:cs="Arial"/>
          <w:color w:val="auto"/>
          <w:sz w:val="22"/>
          <w:szCs w:val="22"/>
        </w:rPr>
      </w:pPr>
    </w:p>
    <w:p w14:paraId="7E8EB4FB" w14:textId="4FAFB924" w:rsidR="00F335EA" w:rsidRPr="00F335EA" w:rsidRDefault="00F335EA" w:rsidP="000573B5">
      <w:pPr>
        <w:pStyle w:val="Default"/>
        <w:ind w:left="360"/>
        <w:rPr>
          <w:rFonts w:ascii="Arial" w:hAnsi="Arial" w:cs="Arial"/>
          <w:color w:val="auto"/>
          <w:sz w:val="22"/>
          <w:szCs w:val="22"/>
        </w:rPr>
      </w:pPr>
      <w:r w:rsidRPr="00F335EA">
        <w:rPr>
          <w:rFonts w:ascii="Arial" w:hAnsi="Arial" w:cs="Arial"/>
          <w:color w:val="auto"/>
          <w:sz w:val="22"/>
          <w:szCs w:val="22"/>
        </w:rPr>
        <w:t xml:space="preserve">An import GST deferral scheme may be operated by the Commissioner General. </w:t>
      </w:r>
    </w:p>
    <w:p w14:paraId="15340614" w14:textId="77777777" w:rsidR="000573B5" w:rsidRDefault="000573B5" w:rsidP="000573B5">
      <w:pPr>
        <w:pStyle w:val="Default"/>
        <w:ind w:left="360"/>
        <w:rPr>
          <w:rFonts w:ascii="Arial" w:hAnsi="Arial" w:cs="Arial"/>
          <w:color w:val="auto"/>
          <w:sz w:val="22"/>
          <w:szCs w:val="22"/>
        </w:rPr>
      </w:pPr>
    </w:p>
    <w:p w14:paraId="43C20D4D" w14:textId="79B44E7D" w:rsidR="00F335EA" w:rsidRPr="00F335EA" w:rsidRDefault="00F335EA" w:rsidP="000573B5">
      <w:pPr>
        <w:pStyle w:val="Default"/>
        <w:ind w:left="360"/>
        <w:rPr>
          <w:rFonts w:ascii="Arial" w:hAnsi="Arial" w:cs="Arial"/>
          <w:color w:val="auto"/>
          <w:sz w:val="22"/>
          <w:szCs w:val="22"/>
        </w:rPr>
      </w:pPr>
      <w:r w:rsidRPr="00F335EA">
        <w:rPr>
          <w:rFonts w:ascii="Arial" w:hAnsi="Arial" w:cs="Arial"/>
          <w:color w:val="auto"/>
          <w:sz w:val="22"/>
          <w:szCs w:val="22"/>
        </w:rPr>
        <w:t xml:space="preserve">Under a GST deferral scheme, the payment of the GST on importation is deferred until the time the taxpayer lodges its next GST return, and as an input tax credit for the same amount is generally allowed in the same return, there is no cash tax payable. </w:t>
      </w:r>
    </w:p>
    <w:p w14:paraId="4B8176DA" w14:textId="77777777" w:rsidR="000573B5" w:rsidRDefault="000573B5" w:rsidP="000573B5">
      <w:pPr>
        <w:pStyle w:val="Default"/>
        <w:ind w:left="360"/>
        <w:rPr>
          <w:rFonts w:ascii="Arial" w:hAnsi="Arial" w:cs="Arial"/>
          <w:color w:val="auto"/>
          <w:sz w:val="22"/>
          <w:szCs w:val="22"/>
        </w:rPr>
      </w:pPr>
    </w:p>
    <w:p w14:paraId="0685103A" w14:textId="07D9D9B4" w:rsidR="00F335EA" w:rsidRPr="00F335EA" w:rsidRDefault="00F335EA" w:rsidP="000573B5">
      <w:pPr>
        <w:pStyle w:val="Default"/>
        <w:ind w:left="360"/>
        <w:rPr>
          <w:rFonts w:ascii="Arial" w:hAnsi="Arial" w:cs="Arial"/>
          <w:color w:val="auto"/>
          <w:sz w:val="22"/>
          <w:szCs w:val="22"/>
        </w:rPr>
      </w:pPr>
      <w:r w:rsidRPr="00F335EA">
        <w:rPr>
          <w:rFonts w:ascii="Arial" w:hAnsi="Arial" w:cs="Arial"/>
          <w:color w:val="auto"/>
          <w:sz w:val="22"/>
          <w:szCs w:val="22"/>
        </w:rPr>
        <w:t xml:space="preserve">Limited information has been provided on who is eligible to participate in the scheme and the procedures for any approvals by the IRC. Importers should seek advice on the ability to access this scheme. </w:t>
      </w:r>
    </w:p>
    <w:p w14:paraId="23979C41" w14:textId="77777777" w:rsidR="000573B5" w:rsidRDefault="000573B5" w:rsidP="000573B5">
      <w:pPr>
        <w:pStyle w:val="Default"/>
        <w:ind w:left="360"/>
        <w:rPr>
          <w:rFonts w:ascii="Arial" w:hAnsi="Arial" w:cs="Arial"/>
          <w:b/>
          <w:bCs/>
          <w:color w:val="auto"/>
          <w:sz w:val="22"/>
          <w:szCs w:val="22"/>
        </w:rPr>
      </w:pPr>
    </w:p>
    <w:p w14:paraId="39CC3EF6" w14:textId="40B96655" w:rsidR="00F335EA" w:rsidRPr="00F335EA" w:rsidRDefault="00F335EA" w:rsidP="000573B5">
      <w:pPr>
        <w:pStyle w:val="Default"/>
        <w:ind w:left="360"/>
        <w:rPr>
          <w:rFonts w:ascii="Arial" w:hAnsi="Arial" w:cs="Arial"/>
          <w:color w:val="auto"/>
          <w:sz w:val="22"/>
          <w:szCs w:val="22"/>
        </w:rPr>
      </w:pPr>
      <w:r w:rsidRPr="00F335EA">
        <w:rPr>
          <w:rFonts w:ascii="Arial" w:hAnsi="Arial" w:cs="Arial"/>
          <w:b/>
          <w:bCs/>
          <w:color w:val="auto"/>
          <w:sz w:val="22"/>
          <w:szCs w:val="22"/>
        </w:rPr>
        <w:t xml:space="preserve">Accounting for GST </w:t>
      </w:r>
    </w:p>
    <w:p w14:paraId="0CB3FBB3" w14:textId="77777777" w:rsidR="000573B5" w:rsidRDefault="000573B5" w:rsidP="000573B5">
      <w:pPr>
        <w:pStyle w:val="Default"/>
        <w:ind w:left="360"/>
        <w:rPr>
          <w:rFonts w:ascii="Arial" w:hAnsi="Arial" w:cs="Arial"/>
          <w:color w:val="auto"/>
          <w:sz w:val="22"/>
          <w:szCs w:val="22"/>
        </w:rPr>
      </w:pPr>
    </w:p>
    <w:p w14:paraId="6B983E8D" w14:textId="43E1D438" w:rsidR="00F335EA" w:rsidRPr="00F335EA" w:rsidRDefault="00F335EA" w:rsidP="000573B5">
      <w:pPr>
        <w:pStyle w:val="Default"/>
        <w:ind w:left="360"/>
        <w:rPr>
          <w:rFonts w:ascii="Arial" w:hAnsi="Arial" w:cs="Arial"/>
          <w:color w:val="auto"/>
          <w:sz w:val="22"/>
          <w:szCs w:val="22"/>
        </w:rPr>
      </w:pPr>
      <w:r w:rsidRPr="00F335EA">
        <w:rPr>
          <w:rFonts w:ascii="Arial" w:hAnsi="Arial" w:cs="Arial"/>
          <w:color w:val="auto"/>
          <w:sz w:val="22"/>
          <w:szCs w:val="22"/>
        </w:rPr>
        <w:t xml:space="preserve">As a rule, GST must be accounted for on an accruals basis. However, registered entities whose turnover did not exceed K1,250,000 in the preceding 12 months or whose turnover is not likely to exceed K1,250,000 in the next 12 months) may account for GST on a payment basis subject to IRC approval. </w:t>
      </w:r>
    </w:p>
    <w:p w14:paraId="2A0B2E85" w14:textId="77777777" w:rsidR="00F335EA" w:rsidRPr="00F335EA" w:rsidRDefault="00F335EA" w:rsidP="000573B5">
      <w:pPr>
        <w:pStyle w:val="Default"/>
        <w:ind w:left="360"/>
        <w:rPr>
          <w:rFonts w:ascii="Arial" w:hAnsi="Arial" w:cs="Arial"/>
          <w:color w:val="auto"/>
          <w:sz w:val="22"/>
          <w:szCs w:val="22"/>
        </w:rPr>
      </w:pPr>
    </w:p>
    <w:p w14:paraId="084EEF7D" w14:textId="77777777" w:rsidR="000573B5" w:rsidRPr="00F335EA" w:rsidRDefault="000573B5" w:rsidP="000573B5">
      <w:pPr>
        <w:pStyle w:val="Default"/>
        <w:pageBreakBefore/>
        <w:ind w:left="360"/>
        <w:rPr>
          <w:rFonts w:ascii="Arial" w:hAnsi="Arial" w:cs="Arial"/>
          <w:color w:val="auto"/>
          <w:sz w:val="22"/>
          <w:szCs w:val="22"/>
        </w:rPr>
      </w:pPr>
      <w:r w:rsidRPr="00F335EA">
        <w:rPr>
          <w:rFonts w:ascii="Arial" w:hAnsi="Arial" w:cs="Arial"/>
          <w:color w:val="auto"/>
          <w:sz w:val="22"/>
          <w:szCs w:val="22"/>
        </w:rPr>
        <w:t xml:space="preserve">GST on the sale of goods and services must be recognised at the earlier of when the invoice is issued or when payment is received. Separate rules apply to the sale of goods and services on hire purchase, lay-by or over a period of time. In these instances, GST is generally accounted for on a pro-rata basis. </w:t>
      </w:r>
    </w:p>
    <w:p w14:paraId="7677C51B" w14:textId="77777777" w:rsidR="000573B5" w:rsidRDefault="000573B5" w:rsidP="000573B5">
      <w:pPr>
        <w:pStyle w:val="Default"/>
        <w:ind w:left="360"/>
        <w:rPr>
          <w:rFonts w:ascii="Arial" w:hAnsi="Arial" w:cs="Arial"/>
          <w:color w:val="auto"/>
          <w:sz w:val="22"/>
          <w:szCs w:val="22"/>
        </w:rPr>
      </w:pPr>
    </w:p>
    <w:p w14:paraId="57465691" w14:textId="0A4AE675" w:rsidR="000573B5" w:rsidRPr="00F335EA" w:rsidRDefault="000573B5" w:rsidP="000573B5">
      <w:pPr>
        <w:pStyle w:val="Default"/>
        <w:ind w:left="360"/>
        <w:rPr>
          <w:rFonts w:ascii="Arial" w:hAnsi="Arial" w:cs="Arial"/>
          <w:color w:val="auto"/>
          <w:sz w:val="22"/>
          <w:szCs w:val="22"/>
        </w:rPr>
      </w:pPr>
      <w:r w:rsidRPr="00F335EA">
        <w:rPr>
          <w:rFonts w:ascii="Arial" w:hAnsi="Arial" w:cs="Arial"/>
          <w:color w:val="auto"/>
          <w:sz w:val="22"/>
          <w:szCs w:val="22"/>
        </w:rPr>
        <w:t xml:space="preserve">GST on the purchase of goods and services can only be recognised at the time of receiving an invoice, except where the invoice covers a range of periodic payments in which case the GST is pro-rated. To be able to claim the input credit the purchaser must have a valid “tax invoice” relating to the purchase. The format of the tax invoice is specifically covered by the GST legislation. </w:t>
      </w:r>
    </w:p>
    <w:p w14:paraId="63648F21" w14:textId="77777777" w:rsidR="000573B5" w:rsidRDefault="000573B5" w:rsidP="000573B5">
      <w:pPr>
        <w:pStyle w:val="Default"/>
        <w:ind w:left="360"/>
        <w:rPr>
          <w:rFonts w:ascii="Arial" w:hAnsi="Arial" w:cs="Arial"/>
          <w:color w:val="auto"/>
          <w:sz w:val="22"/>
          <w:szCs w:val="22"/>
        </w:rPr>
      </w:pPr>
    </w:p>
    <w:p w14:paraId="4073CF71" w14:textId="23D3C845" w:rsidR="000573B5" w:rsidRDefault="000573B5" w:rsidP="000573B5">
      <w:pPr>
        <w:pStyle w:val="Default"/>
        <w:ind w:left="360"/>
        <w:rPr>
          <w:rFonts w:ascii="Arial" w:hAnsi="Arial" w:cs="Arial"/>
          <w:color w:val="auto"/>
          <w:sz w:val="22"/>
          <w:szCs w:val="22"/>
        </w:rPr>
      </w:pPr>
      <w:r w:rsidRPr="00F335EA">
        <w:rPr>
          <w:rFonts w:ascii="Arial" w:hAnsi="Arial" w:cs="Arial"/>
          <w:color w:val="auto"/>
          <w:sz w:val="22"/>
          <w:szCs w:val="22"/>
        </w:rPr>
        <w:t xml:space="preserve">One important exception for which there is no input deduction (apart from those relating to exempt sales) is the purchase or hire of a motor vehicle designed to carry less than one tonne or fewer than nine passengers. There is no input credit available on these transactions, unless the purchaser is in the business of buying and selling, or renting motor vehicles. </w:t>
      </w:r>
    </w:p>
    <w:p w14:paraId="0EB6CC65" w14:textId="77777777" w:rsidR="000573B5" w:rsidRPr="00F335EA" w:rsidRDefault="000573B5" w:rsidP="000573B5">
      <w:pPr>
        <w:pStyle w:val="Default"/>
        <w:ind w:left="360"/>
        <w:rPr>
          <w:rFonts w:ascii="Arial" w:hAnsi="Arial" w:cs="Arial"/>
          <w:color w:val="auto"/>
          <w:sz w:val="22"/>
          <w:szCs w:val="22"/>
        </w:rPr>
      </w:pPr>
    </w:p>
    <w:p w14:paraId="35EA08EE" w14:textId="77777777" w:rsidR="000573B5" w:rsidRPr="00F335EA" w:rsidRDefault="000573B5" w:rsidP="000573B5">
      <w:pPr>
        <w:pStyle w:val="Default"/>
        <w:ind w:left="360"/>
        <w:rPr>
          <w:rFonts w:ascii="Arial" w:hAnsi="Arial" w:cs="Arial"/>
          <w:color w:val="auto"/>
          <w:sz w:val="22"/>
          <w:szCs w:val="22"/>
        </w:rPr>
      </w:pPr>
      <w:r w:rsidRPr="00F335EA">
        <w:rPr>
          <w:rFonts w:ascii="Arial" w:hAnsi="Arial" w:cs="Arial"/>
          <w:b/>
          <w:bCs/>
          <w:color w:val="auto"/>
          <w:sz w:val="22"/>
          <w:szCs w:val="22"/>
        </w:rPr>
        <w:t xml:space="preserve">Agriculture and second-hand goods </w:t>
      </w:r>
    </w:p>
    <w:p w14:paraId="4EB10F4A" w14:textId="77777777" w:rsidR="000573B5" w:rsidRDefault="000573B5" w:rsidP="000573B5">
      <w:pPr>
        <w:pStyle w:val="Default"/>
        <w:ind w:left="360"/>
        <w:rPr>
          <w:rFonts w:ascii="Arial" w:hAnsi="Arial" w:cs="Arial"/>
          <w:color w:val="auto"/>
          <w:sz w:val="22"/>
          <w:szCs w:val="22"/>
        </w:rPr>
      </w:pPr>
    </w:p>
    <w:p w14:paraId="6E6554FF" w14:textId="79A46644" w:rsidR="000573B5" w:rsidRDefault="000573B5" w:rsidP="000573B5">
      <w:pPr>
        <w:pStyle w:val="Default"/>
        <w:ind w:left="360"/>
        <w:rPr>
          <w:rFonts w:ascii="Arial" w:hAnsi="Arial" w:cs="Arial"/>
          <w:color w:val="auto"/>
          <w:sz w:val="22"/>
          <w:szCs w:val="22"/>
        </w:rPr>
      </w:pPr>
      <w:r w:rsidRPr="00F335EA">
        <w:rPr>
          <w:rFonts w:ascii="Arial" w:hAnsi="Arial" w:cs="Arial"/>
          <w:color w:val="auto"/>
          <w:sz w:val="22"/>
          <w:szCs w:val="22"/>
        </w:rPr>
        <w:t xml:space="preserve">Special rules apply where a registered entity purchases primary produce produced by the vendor in PNG or second-hand goods and the producer is not registered for GST. </w:t>
      </w:r>
    </w:p>
    <w:p w14:paraId="32F43D7C" w14:textId="77777777" w:rsidR="000573B5" w:rsidRPr="00F335EA" w:rsidRDefault="000573B5" w:rsidP="000573B5">
      <w:pPr>
        <w:pStyle w:val="Default"/>
        <w:ind w:left="360"/>
        <w:rPr>
          <w:rFonts w:ascii="Arial" w:hAnsi="Arial" w:cs="Arial"/>
          <w:color w:val="auto"/>
          <w:sz w:val="22"/>
          <w:szCs w:val="22"/>
        </w:rPr>
      </w:pPr>
    </w:p>
    <w:p w14:paraId="407A9FDD" w14:textId="5EE77E69" w:rsidR="000573B5" w:rsidRPr="00F335EA" w:rsidRDefault="000573B5" w:rsidP="000573B5">
      <w:pPr>
        <w:pStyle w:val="Default"/>
        <w:ind w:left="360"/>
        <w:rPr>
          <w:rFonts w:ascii="Arial" w:hAnsi="Arial" w:cs="Arial"/>
          <w:color w:val="auto"/>
          <w:sz w:val="22"/>
          <w:szCs w:val="22"/>
        </w:rPr>
      </w:pPr>
      <w:r w:rsidRPr="00F335EA">
        <w:rPr>
          <w:rFonts w:ascii="Arial" w:hAnsi="Arial" w:cs="Arial"/>
          <w:color w:val="auto"/>
          <w:sz w:val="22"/>
          <w:szCs w:val="22"/>
        </w:rPr>
        <w:t>In these circumstances, the purchaser of primary produce is generally able to claim an input credit for</w:t>
      </w:r>
      <w:r>
        <w:rPr>
          <w:rFonts w:ascii="Arial" w:hAnsi="Arial" w:cs="Arial"/>
          <w:color w:val="auto"/>
          <w:sz w:val="22"/>
          <w:szCs w:val="22"/>
        </w:rPr>
        <w:t xml:space="preserve"> </w:t>
      </w:r>
      <w:r w:rsidRPr="00F335EA">
        <w:rPr>
          <w:rFonts w:ascii="Arial" w:hAnsi="Arial" w:cs="Arial"/>
          <w:color w:val="auto"/>
          <w:sz w:val="22"/>
          <w:szCs w:val="22"/>
        </w:rPr>
        <w:t xml:space="preserve">a prescribed percentage of the amount paid. The purchaser of second-hand goods can claim an input credit for the “tax fraction” (i.e. 1/11th) of the amount paid. </w:t>
      </w:r>
    </w:p>
    <w:p w14:paraId="20A5C248" w14:textId="77777777" w:rsidR="000573B5" w:rsidRDefault="000573B5" w:rsidP="000573B5">
      <w:pPr>
        <w:pStyle w:val="Default"/>
        <w:ind w:left="360"/>
        <w:rPr>
          <w:rFonts w:ascii="Arial" w:hAnsi="Arial" w:cs="Arial"/>
          <w:b/>
          <w:bCs/>
          <w:color w:val="auto"/>
          <w:sz w:val="22"/>
          <w:szCs w:val="22"/>
        </w:rPr>
      </w:pPr>
    </w:p>
    <w:p w14:paraId="3B53CA69" w14:textId="71E95D1B" w:rsidR="000573B5" w:rsidRPr="00F335EA" w:rsidRDefault="000573B5" w:rsidP="000573B5">
      <w:pPr>
        <w:pStyle w:val="Default"/>
        <w:ind w:left="360"/>
        <w:rPr>
          <w:rFonts w:ascii="Arial" w:hAnsi="Arial" w:cs="Arial"/>
          <w:color w:val="auto"/>
          <w:sz w:val="22"/>
          <w:szCs w:val="22"/>
        </w:rPr>
      </w:pPr>
      <w:r w:rsidRPr="00F335EA">
        <w:rPr>
          <w:rFonts w:ascii="Arial" w:hAnsi="Arial" w:cs="Arial"/>
          <w:b/>
          <w:bCs/>
          <w:color w:val="auto"/>
          <w:sz w:val="22"/>
          <w:szCs w:val="22"/>
        </w:rPr>
        <w:t xml:space="preserve">Goods and services tax – Director liability </w:t>
      </w:r>
    </w:p>
    <w:p w14:paraId="31C87A6F" w14:textId="77777777" w:rsidR="000573B5" w:rsidRDefault="000573B5" w:rsidP="000573B5">
      <w:pPr>
        <w:pStyle w:val="ListParagraph"/>
        <w:ind w:left="360"/>
        <w:rPr>
          <w:rFonts w:ascii="Arial" w:hAnsi="Arial" w:cs="Arial"/>
        </w:rPr>
      </w:pPr>
    </w:p>
    <w:p w14:paraId="0E4F6D69" w14:textId="7EBD5D75" w:rsidR="00E07340" w:rsidRDefault="000573B5" w:rsidP="000573B5">
      <w:pPr>
        <w:pStyle w:val="ListParagraph"/>
        <w:ind w:left="360"/>
        <w:rPr>
          <w:rFonts w:ascii="Arial" w:hAnsi="Arial" w:cs="Arial"/>
          <w:lang w:val="en-AU"/>
        </w:rPr>
      </w:pPr>
      <w:r w:rsidRPr="000573B5">
        <w:rPr>
          <w:rFonts w:ascii="Arial" w:hAnsi="Arial" w:cs="Arial"/>
          <w:lang w:val="en-AU"/>
        </w:rPr>
        <w:t>The GST Act contains provisions which hold company directors personally liable for failing to ensure their company complies with its GST obligations. Directors are potentially liable for a penalty equal to the amount of GST that the company ought to have remitted to the IRC.</w:t>
      </w:r>
    </w:p>
    <w:p w14:paraId="41B74E42" w14:textId="77777777" w:rsidR="000573B5" w:rsidRPr="000573B5" w:rsidRDefault="000573B5" w:rsidP="000573B5">
      <w:pPr>
        <w:pStyle w:val="ListParagraph"/>
        <w:ind w:left="360"/>
        <w:rPr>
          <w:rFonts w:ascii="Arial" w:hAnsi="Arial" w:cs="Arial"/>
          <w:lang w:val="en-AU"/>
        </w:rPr>
      </w:pPr>
    </w:p>
    <w:p w14:paraId="3FB548E9" w14:textId="1A59A789" w:rsidR="000573B5" w:rsidRPr="000573B5" w:rsidRDefault="000573B5" w:rsidP="000573B5">
      <w:pPr>
        <w:pStyle w:val="ListParagraph"/>
        <w:numPr>
          <w:ilvl w:val="0"/>
          <w:numId w:val="12"/>
        </w:numPr>
        <w:rPr>
          <w:rFonts w:ascii="Arial" w:hAnsi="Arial" w:cs="Arial"/>
          <w:b/>
          <w:u w:val="single"/>
        </w:rPr>
      </w:pPr>
      <w:r w:rsidRPr="000573B5">
        <w:rPr>
          <w:rFonts w:ascii="Arial" w:hAnsi="Arial" w:cs="Arial"/>
          <w:b/>
          <w:u w:val="single"/>
        </w:rPr>
        <w:t>Other Taxes</w:t>
      </w:r>
    </w:p>
    <w:p w14:paraId="24BBF1FB" w14:textId="376C7152" w:rsidR="000573B5" w:rsidRPr="00B3371D" w:rsidRDefault="000573B5" w:rsidP="000573B5">
      <w:pPr>
        <w:rPr>
          <w:sz w:val="22"/>
          <w:szCs w:val="22"/>
        </w:rPr>
      </w:pPr>
      <w:r w:rsidRPr="00B3371D">
        <w:rPr>
          <w:sz w:val="22"/>
          <w:szCs w:val="22"/>
        </w:rPr>
        <w:t>The following tax the following withholding tax rates are applicable and payable within 21 days after the month when paid or credited.</w:t>
      </w:r>
    </w:p>
    <w:p w14:paraId="5F9BC218" w14:textId="77777777" w:rsidR="000573B5" w:rsidRDefault="000573B5" w:rsidP="000573B5">
      <w:pPr>
        <w:ind w:left="720"/>
        <w:rPr>
          <w:sz w:val="22"/>
          <w:szCs w:val="22"/>
        </w:rPr>
      </w:pPr>
    </w:p>
    <w:p w14:paraId="2B19C240" w14:textId="079B1313" w:rsidR="000573B5" w:rsidRPr="00B3371D" w:rsidRDefault="000573B5" w:rsidP="00B3371D">
      <w:pPr>
        <w:ind w:left="720"/>
        <w:jc w:val="both"/>
        <w:rPr>
          <w:b/>
          <w:sz w:val="22"/>
          <w:szCs w:val="22"/>
        </w:rPr>
      </w:pPr>
      <w:r w:rsidRPr="00B3371D">
        <w:rPr>
          <w:b/>
          <w:sz w:val="22"/>
          <w:szCs w:val="22"/>
        </w:rPr>
        <w:t xml:space="preserve">            Dividends</w:t>
      </w:r>
      <w:r w:rsidRPr="00B3371D">
        <w:rPr>
          <w:b/>
          <w:sz w:val="22"/>
          <w:szCs w:val="22"/>
        </w:rPr>
        <w:tab/>
      </w:r>
      <w:r w:rsidRPr="00B3371D">
        <w:rPr>
          <w:b/>
          <w:sz w:val="22"/>
          <w:szCs w:val="22"/>
        </w:rPr>
        <w:tab/>
        <w:t>15%</w:t>
      </w:r>
    </w:p>
    <w:p w14:paraId="163DE6E5" w14:textId="4CE3371D" w:rsidR="000573B5" w:rsidRPr="00B3371D" w:rsidRDefault="000573B5" w:rsidP="00B3371D">
      <w:pPr>
        <w:ind w:left="720"/>
        <w:jc w:val="both"/>
        <w:rPr>
          <w:b/>
          <w:sz w:val="22"/>
          <w:szCs w:val="22"/>
        </w:rPr>
      </w:pPr>
      <w:r w:rsidRPr="00B3371D">
        <w:rPr>
          <w:b/>
          <w:sz w:val="22"/>
          <w:szCs w:val="22"/>
        </w:rPr>
        <w:tab/>
        <w:t>Gross Royalty</w:t>
      </w:r>
      <w:r w:rsidRPr="00B3371D">
        <w:rPr>
          <w:b/>
          <w:sz w:val="22"/>
          <w:szCs w:val="22"/>
        </w:rPr>
        <w:tab/>
        <w:t>10%</w:t>
      </w:r>
    </w:p>
    <w:p w14:paraId="5FCFAA45" w14:textId="77777777" w:rsidR="000573B5" w:rsidRPr="00B3371D" w:rsidRDefault="000573B5" w:rsidP="00B3371D">
      <w:pPr>
        <w:ind w:left="720"/>
        <w:jc w:val="both"/>
        <w:rPr>
          <w:b/>
          <w:sz w:val="22"/>
          <w:szCs w:val="22"/>
        </w:rPr>
      </w:pPr>
      <w:r w:rsidRPr="00B3371D">
        <w:rPr>
          <w:b/>
          <w:sz w:val="22"/>
          <w:szCs w:val="22"/>
        </w:rPr>
        <w:tab/>
        <w:t>Interest</w:t>
      </w:r>
      <w:r w:rsidRPr="00B3371D">
        <w:rPr>
          <w:b/>
          <w:sz w:val="22"/>
          <w:szCs w:val="22"/>
        </w:rPr>
        <w:tab/>
      </w:r>
      <w:r w:rsidRPr="00B3371D">
        <w:rPr>
          <w:b/>
          <w:sz w:val="22"/>
          <w:szCs w:val="22"/>
        </w:rPr>
        <w:tab/>
        <w:t>15%</w:t>
      </w:r>
    </w:p>
    <w:p w14:paraId="3CC3F30E" w14:textId="77777777" w:rsidR="000573B5" w:rsidRPr="00B3371D" w:rsidRDefault="000573B5" w:rsidP="00B3371D">
      <w:pPr>
        <w:ind w:left="720"/>
        <w:jc w:val="both"/>
        <w:rPr>
          <w:b/>
          <w:sz w:val="22"/>
          <w:szCs w:val="22"/>
        </w:rPr>
      </w:pPr>
      <w:r w:rsidRPr="00B3371D">
        <w:rPr>
          <w:b/>
          <w:sz w:val="22"/>
          <w:szCs w:val="22"/>
        </w:rPr>
        <w:tab/>
        <w:t>Management fees</w:t>
      </w:r>
      <w:r w:rsidRPr="00B3371D">
        <w:rPr>
          <w:b/>
          <w:sz w:val="22"/>
          <w:szCs w:val="22"/>
        </w:rPr>
        <w:tab/>
        <w:t>17%</w:t>
      </w:r>
    </w:p>
    <w:p w14:paraId="44503FB2" w14:textId="77777777" w:rsidR="000573B5" w:rsidRPr="00865957" w:rsidRDefault="000573B5" w:rsidP="000573B5">
      <w:pPr>
        <w:ind w:left="720"/>
        <w:rPr>
          <w:sz w:val="22"/>
          <w:szCs w:val="22"/>
        </w:rPr>
      </w:pPr>
    </w:p>
    <w:p w14:paraId="55A860CF" w14:textId="77777777" w:rsidR="000573B5" w:rsidRPr="00865957" w:rsidRDefault="000573B5" w:rsidP="000573B5">
      <w:pPr>
        <w:rPr>
          <w:sz w:val="22"/>
          <w:szCs w:val="22"/>
        </w:rPr>
      </w:pPr>
      <w:r w:rsidRPr="00865957">
        <w:rPr>
          <w:sz w:val="22"/>
          <w:szCs w:val="22"/>
        </w:rPr>
        <w:t>With the interest under the double tax agreement interest withholding is reduced to 10% for Australia</w:t>
      </w:r>
      <w:r>
        <w:rPr>
          <w:sz w:val="22"/>
          <w:szCs w:val="22"/>
        </w:rPr>
        <w:t xml:space="preserve"> and China etc. </w:t>
      </w:r>
    </w:p>
    <w:p w14:paraId="3796DA8A" w14:textId="77777777" w:rsidR="000573B5" w:rsidRPr="00865957" w:rsidRDefault="000573B5" w:rsidP="000573B5">
      <w:pPr>
        <w:ind w:left="720"/>
        <w:rPr>
          <w:sz w:val="22"/>
          <w:szCs w:val="22"/>
        </w:rPr>
      </w:pPr>
    </w:p>
    <w:p w14:paraId="6718AD71" w14:textId="7BDD048E" w:rsidR="000573B5" w:rsidRDefault="000573B5" w:rsidP="000573B5">
      <w:pPr>
        <w:rPr>
          <w:sz w:val="22"/>
          <w:szCs w:val="22"/>
        </w:rPr>
      </w:pPr>
      <w:r w:rsidRPr="00865957">
        <w:rPr>
          <w:sz w:val="22"/>
          <w:szCs w:val="22"/>
        </w:rPr>
        <w:t>Management fees cannot exceed the greater of 2% of the assessable income or 2% of total allowable deductions (excludes Management Fees)</w:t>
      </w:r>
      <w:r>
        <w:rPr>
          <w:sz w:val="22"/>
          <w:szCs w:val="22"/>
        </w:rPr>
        <w:t>. Management fees withholding tax is not applicable for the following countries due to double tax agreements arranged:</w:t>
      </w:r>
    </w:p>
    <w:p w14:paraId="2041DD0D" w14:textId="77777777" w:rsidR="000573B5" w:rsidRDefault="000573B5" w:rsidP="000573B5">
      <w:pPr>
        <w:rPr>
          <w:sz w:val="22"/>
          <w:szCs w:val="22"/>
        </w:rPr>
      </w:pPr>
    </w:p>
    <w:p w14:paraId="19C9FCD7" w14:textId="77777777" w:rsidR="000573B5" w:rsidRDefault="000573B5" w:rsidP="000573B5">
      <w:pPr>
        <w:rPr>
          <w:sz w:val="22"/>
          <w:szCs w:val="22"/>
        </w:rPr>
      </w:pPr>
    </w:p>
    <w:tbl>
      <w:tblPr>
        <w:tblStyle w:val="PlainTable1"/>
        <w:tblW w:w="2500" w:type="pct"/>
        <w:jc w:val="center"/>
        <w:tblLook w:val="04A0" w:firstRow="1" w:lastRow="0" w:firstColumn="1" w:lastColumn="0" w:noHBand="0" w:noVBand="1"/>
      </w:tblPr>
      <w:tblGrid>
        <w:gridCol w:w="2265"/>
        <w:gridCol w:w="2963"/>
      </w:tblGrid>
      <w:tr w:rsidR="000573B5" w:rsidRPr="001351F1" w14:paraId="7D48C492" w14:textId="77777777" w:rsidTr="003269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4F571A9" w14:textId="77777777" w:rsidR="000573B5" w:rsidRPr="001351F1" w:rsidRDefault="000573B5" w:rsidP="00326971">
            <w:pPr>
              <w:rPr>
                <w:sz w:val="22"/>
                <w:lang w:eastAsia="zh-CN"/>
              </w:rPr>
            </w:pPr>
            <w:r w:rsidRPr="001351F1">
              <w:rPr>
                <w:sz w:val="22"/>
                <w:bdr w:val="none" w:sz="0" w:space="0" w:color="auto" w:frame="1"/>
                <w:lang w:eastAsia="zh-CN"/>
              </w:rPr>
              <w:t>Country</w:t>
            </w:r>
          </w:p>
        </w:tc>
        <w:tc>
          <w:tcPr>
            <w:tcW w:w="0" w:type="auto"/>
            <w:hideMark/>
          </w:tcPr>
          <w:p w14:paraId="07164B05" w14:textId="77777777" w:rsidR="000573B5" w:rsidRPr="001351F1" w:rsidRDefault="000573B5" w:rsidP="00326971">
            <w:pPr>
              <w:cnfStyle w:val="100000000000" w:firstRow="1" w:lastRow="0" w:firstColumn="0" w:lastColumn="0" w:oddVBand="0" w:evenVBand="0" w:oddHBand="0" w:evenHBand="0" w:firstRowFirstColumn="0" w:firstRowLastColumn="0" w:lastRowFirstColumn="0" w:lastRowLastColumn="0"/>
              <w:rPr>
                <w:sz w:val="22"/>
                <w:lang w:eastAsia="zh-CN"/>
              </w:rPr>
            </w:pPr>
            <w:r w:rsidRPr="001351F1">
              <w:rPr>
                <w:sz w:val="22"/>
                <w:bdr w:val="none" w:sz="0" w:space="0" w:color="auto" w:frame="1"/>
                <w:lang w:eastAsia="zh-CN"/>
              </w:rPr>
              <w:t>Withholding tax rate</w:t>
            </w:r>
          </w:p>
        </w:tc>
      </w:tr>
      <w:tr w:rsidR="000573B5" w:rsidRPr="001351F1" w14:paraId="3076805C" w14:textId="77777777" w:rsidTr="003269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BAA195C" w14:textId="77777777" w:rsidR="000573B5" w:rsidRPr="001351F1" w:rsidRDefault="000573B5" w:rsidP="00326971">
            <w:pPr>
              <w:rPr>
                <w:b w:val="0"/>
                <w:sz w:val="22"/>
                <w:lang w:eastAsia="zh-CN"/>
              </w:rPr>
            </w:pPr>
            <w:r w:rsidRPr="001351F1">
              <w:rPr>
                <w:b w:val="0"/>
                <w:sz w:val="22"/>
                <w:lang w:eastAsia="zh-CN"/>
              </w:rPr>
              <w:t>Canada</w:t>
            </w:r>
          </w:p>
        </w:tc>
        <w:tc>
          <w:tcPr>
            <w:tcW w:w="0" w:type="auto"/>
            <w:hideMark/>
          </w:tcPr>
          <w:p w14:paraId="779BD63B" w14:textId="77777777" w:rsidR="000573B5" w:rsidRPr="001351F1" w:rsidRDefault="000573B5" w:rsidP="00326971">
            <w:pPr>
              <w:cnfStyle w:val="000000100000" w:firstRow="0" w:lastRow="0" w:firstColumn="0" w:lastColumn="0" w:oddVBand="0" w:evenVBand="0" w:oddHBand="1" w:evenHBand="0" w:firstRowFirstColumn="0" w:firstRowLastColumn="0" w:lastRowFirstColumn="0" w:lastRowLastColumn="0"/>
              <w:rPr>
                <w:sz w:val="22"/>
                <w:lang w:eastAsia="zh-CN"/>
              </w:rPr>
            </w:pPr>
            <w:r w:rsidRPr="001351F1">
              <w:rPr>
                <w:sz w:val="22"/>
                <w:lang w:eastAsia="zh-CN"/>
              </w:rPr>
              <w:t>Nil</w:t>
            </w:r>
          </w:p>
        </w:tc>
      </w:tr>
      <w:tr w:rsidR="000573B5" w:rsidRPr="001351F1" w14:paraId="2C5BF017" w14:textId="77777777" w:rsidTr="0032697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D2704B1" w14:textId="77777777" w:rsidR="000573B5" w:rsidRPr="001351F1" w:rsidRDefault="000573B5" w:rsidP="00326971">
            <w:pPr>
              <w:rPr>
                <w:b w:val="0"/>
                <w:sz w:val="22"/>
                <w:lang w:eastAsia="zh-CN"/>
              </w:rPr>
            </w:pPr>
            <w:r w:rsidRPr="001351F1">
              <w:rPr>
                <w:b w:val="0"/>
                <w:sz w:val="22"/>
                <w:lang w:eastAsia="zh-CN"/>
              </w:rPr>
              <w:t>Australia</w:t>
            </w:r>
          </w:p>
        </w:tc>
        <w:tc>
          <w:tcPr>
            <w:tcW w:w="0" w:type="auto"/>
            <w:hideMark/>
          </w:tcPr>
          <w:p w14:paraId="6CEBC7C6" w14:textId="77777777" w:rsidR="000573B5" w:rsidRPr="001351F1" w:rsidRDefault="000573B5" w:rsidP="00326971">
            <w:pPr>
              <w:cnfStyle w:val="000000000000" w:firstRow="0" w:lastRow="0" w:firstColumn="0" w:lastColumn="0" w:oddVBand="0" w:evenVBand="0" w:oddHBand="0" w:evenHBand="0" w:firstRowFirstColumn="0" w:firstRowLastColumn="0" w:lastRowFirstColumn="0" w:lastRowLastColumn="0"/>
              <w:rPr>
                <w:sz w:val="22"/>
                <w:lang w:eastAsia="zh-CN"/>
              </w:rPr>
            </w:pPr>
            <w:r w:rsidRPr="001351F1">
              <w:rPr>
                <w:sz w:val="22"/>
                <w:lang w:eastAsia="zh-CN"/>
              </w:rPr>
              <w:t>Nil</w:t>
            </w:r>
          </w:p>
        </w:tc>
      </w:tr>
      <w:tr w:rsidR="000573B5" w:rsidRPr="001351F1" w14:paraId="0E529619" w14:textId="77777777" w:rsidTr="003269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E167141" w14:textId="77777777" w:rsidR="000573B5" w:rsidRPr="001351F1" w:rsidRDefault="000573B5" w:rsidP="00326971">
            <w:pPr>
              <w:rPr>
                <w:b w:val="0"/>
                <w:sz w:val="22"/>
                <w:lang w:eastAsia="zh-CN"/>
              </w:rPr>
            </w:pPr>
            <w:r w:rsidRPr="001351F1">
              <w:rPr>
                <w:b w:val="0"/>
                <w:sz w:val="22"/>
                <w:lang w:eastAsia="zh-CN"/>
              </w:rPr>
              <w:t>Singapore</w:t>
            </w:r>
          </w:p>
        </w:tc>
        <w:tc>
          <w:tcPr>
            <w:tcW w:w="0" w:type="auto"/>
            <w:hideMark/>
          </w:tcPr>
          <w:p w14:paraId="1E03AEB8" w14:textId="77777777" w:rsidR="000573B5" w:rsidRPr="001351F1" w:rsidRDefault="000573B5" w:rsidP="00326971">
            <w:pPr>
              <w:cnfStyle w:val="000000100000" w:firstRow="0" w:lastRow="0" w:firstColumn="0" w:lastColumn="0" w:oddVBand="0" w:evenVBand="0" w:oddHBand="1" w:evenHBand="0" w:firstRowFirstColumn="0" w:firstRowLastColumn="0" w:lastRowFirstColumn="0" w:lastRowLastColumn="0"/>
              <w:rPr>
                <w:sz w:val="22"/>
                <w:lang w:eastAsia="zh-CN"/>
              </w:rPr>
            </w:pPr>
            <w:r w:rsidRPr="001351F1">
              <w:rPr>
                <w:sz w:val="22"/>
                <w:lang w:eastAsia="zh-CN"/>
              </w:rPr>
              <w:t>Nil</w:t>
            </w:r>
          </w:p>
        </w:tc>
      </w:tr>
      <w:tr w:rsidR="000573B5" w:rsidRPr="001351F1" w14:paraId="4D0B7EF4" w14:textId="77777777" w:rsidTr="0032697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154FAFA" w14:textId="77777777" w:rsidR="000573B5" w:rsidRPr="001351F1" w:rsidRDefault="000573B5" w:rsidP="00326971">
            <w:pPr>
              <w:rPr>
                <w:b w:val="0"/>
                <w:sz w:val="22"/>
                <w:lang w:eastAsia="zh-CN"/>
              </w:rPr>
            </w:pPr>
            <w:r w:rsidRPr="001351F1">
              <w:rPr>
                <w:b w:val="0"/>
                <w:sz w:val="22"/>
                <w:lang w:eastAsia="zh-CN"/>
              </w:rPr>
              <w:t>United Kingdom</w:t>
            </w:r>
          </w:p>
        </w:tc>
        <w:tc>
          <w:tcPr>
            <w:tcW w:w="0" w:type="auto"/>
            <w:hideMark/>
          </w:tcPr>
          <w:p w14:paraId="042CFDA6" w14:textId="77777777" w:rsidR="000573B5" w:rsidRPr="001351F1" w:rsidRDefault="000573B5" w:rsidP="00326971">
            <w:pPr>
              <w:cnfStyle w:val="000000000000" w:firstRow="0" w:lastRow="0" w:firstColumn="0" w:lastColumn="0" w:oddVBand="0" w:evenVBand="0" w:oddHBand="0" w:evenHBand="0" w:firstRowFirstColumn="0" w:firstRowLastColumn="0" w:lastRowFirstColumn="0" w:lastRowLastColumn="0"/>
              <w:rPr>
                <w:sz w:val="22"/>
                <w:lang w:eastAsia="zh-CN"/>
              </w:rPr>
            </w:pPr>
            <w:r w:rsidRPr="001351F1">
              <w:rPr>
                <w:sz w:val="22"/>
                <w:lang w:eastAsia="zh-CN"/>
              </w:rPr>
              <w:t>10%</w:t>
            </w:r>
          </w:p>
        </w:tc>
      </w:tr>
      <w:tr w:rsidR="000573B5" w:rsidRPr="001351F1" w14:paraId="69600162" w14:textId="77777777" w:rsidTr="003269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D123294" w14:textId="77777777" w:rsidR="000573B5" w:rsidRPr="001351F1" w:rsidRDefault="000573B5" w:rsidP="00326971">
            <w:pPr>
              <w:rPr>
                <w:b w:val="0"/>
                <w:sz w:val="22"/>
                <w:lang w:eastAsia="zh-CN"/>
              </w:rPr>
            </w:pPr>
            <w:r w:rsidRPr="001351F1">
              <w:rPr>
                <w:b w:val="0"/>
                <w:sz w:val="22"/>
                <w:lang w:eastAsia="zh-CN"/>
              </w:rPr>
              <w:t>Malaysia</w:t>
            </w:r>
          </w:p>
        </w:tc>
        <w:tc>
          <w:tcPr>
            <w:tcW w:w="0" w:type="auto"/>
            <w:hideMark/>
          </w:tcPr>
          <w:p w14:paraId="4E2B2CBC" w14:textId="77777777" w:rsidR="000573B5" w:rsidRPr="001351F1" w:rsidRDefault="000573B5" w:rsidP="00326971">
            <w:pPr>
              <w:cnfStyle w:val="000000100000" w:firstRow="0" w:lastRow="0" w:firstColumn="0" w:lastColumn="0" w:oddVBand="0" w:evenVBand="0" w:oddHBand="1" w:evenHBand="0" w:firstRowFirstColumn="0" w:firstRowLastColumn="0" w:lastRowFirstColumn="0" w:lastRowLastColumn="0"/>
              <w:rPr>
                <w:sz w:val="22"/>
                <w:lang w:eastAsia="zh-CN"/>
              </w:rPr>
            </w:pPr>
            <w:r w:rsidRPr="001351F1">
              <w:rPr>
                <w:sz w:val="22"/>
                <w:lang w:eastAsia="zh-CN"/>
              </w:rPr>
              <w:t>10%</w:t>
            </w:r>
          </w:p>
        </w:tc>
      </w:tr>
      <w:tr w:rsidR="000573B5" w:rsidRPr="001351F1" w14:paraId="2C967C42" w14:textId="77777777" w:rsidTr="0032697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3220BAF" w14:textId="77777777" w:rsidR="000573B5" w:rsidRPr="001351F1" w:rsidRDefault="000573B5" w:rsidP="00326971">
            <w:pPr>
              <w:rPr>
                <w:b w:val="0"/>
                <w:sz w:val="22"/>
                <w:lang w:eastAsia="zh-CN"/>
              </w:rPr>
            </w:pPr>
            <w:r w:rsidRPr="001351F1">
              <w:rPr>
                <w:b w:val="0"/>
                <w:sz w:val="22"/>
                <w:lang w:eastAsia="zh-CN"/>
              </w:rPr>
              <w:t>China</w:t>
            </w:r>
          </w:p>
        </w:tc>
        <w:tc>
          <w:tcPr>
            <w:tcW w:w="0" w:type="auto"/>
            <w:hideMark/>
          </w:tcPr>
          <w:p w14:paraId="6C26EE72" w14:textId="77777777" w:rsidR="000573B5" w:rsidRPr="001351F1" w:rsidRDefault="000573B5" w:rsidP="00326971">
            <w:pPr>
              <w:cnfStyle w:val="000000000000" w:firstRow="0" w:lastRow="0" w:firstColumn="0" w:lastColumn="0" w:oddVBand="0" w:evenVBand="0" w:oddHBand="0" w:evenHBand="0" w:firstRowFirstColumn="0" w:firstRowLastColumn="0" w:lastRowFirstColumn="0" w:lastRowLastColumn="0"/>
              <w:rPr>
                <w:sz w:val="22"/>
                <w:lang w:eastAsia="zh-CN"/>
              </w:rPr>
            </w:pPr>
            <w:r w:rsidRPr="001351F1">
              <w:rPr>
                <w:sz w:val="22"/>
                <w:lang w:eastAsia="zh-CN"/>
              </w:rPr>
              <w:t>Nil</w:t>
            </w:r>
          </w:p>
        </w:tc>
      </w:tr>
      <w:tr w:rsidR="000573B5" w:rsidRPr="001351F1" w14:paraId="05DBFFE7" w14:textId="77777777" w:rsidTr="003269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429B8BC" w14:textId="77777777" w:rsidR="000573B5" w:rsidRPr="001351F1" w:rsidRDefault="000573B5" w:rsidP="00326971">
            <w:pPr>
              <w:rPr>
                <w:b w:val="0"/>
                <w:sz w:val="22"/>
                <w:lang w:eastAsia="zh-CN"/>
              </w:rPr>
            </w:pPr>
            <w:r w:rsidRPr="001351F1">
              <w:rPr>
                <w:b w:val="0"/>
                <w:sz w:val="22"/>
                <w:lang w:eastAsia="zh-CN"/>
              </w:rPr>
              <w:t>Germany</w:t>
            </w:r>
          </w:p>
        </w:tc>
        <w:tc>
          <w:tcPr>
            <w:tcW w:w="0" w:type="auto"/>
            <w:hideMark/>
          </w:tcPr>
          <w:p w14:paraId="6FA0C615" w14:textId="77777777" w:rsidR="000573B5" w:rsidRPr="001351F1" w:rsidRDefault="000573B5" w:rsidP="00326971">
            <w:pPr>
              <w:cnfStyle w:val="000000100000" w:firstRow="0" w:lastRow="0" w:firstColumn="0" w:lastColumn="0" w:oddVBand="0" w:evenVBand="0" w:oddHBand="1" w:evenHBand="0" w:firstRowFirstColumn="0" w:firstRowLastColumn="0" w:lastRowFirstColumn="0" w:lastRowLastColumn="0"/>
              <w:rPr>
                <w:sz w:val="22"/>
                <w:lang w:eastAsia="zh-CN"/>
              </w:rPr>
            </w:pPr>
            <w:r w:rsidRPr="001351F1">
              <w:rPr>
                <w:sz w:val="22"/>
                <w:lang w:eastAsia="zh-CN"/>
              </w:rPr>
              <w:t>Nil</w:t>
            </w:r>
          </w:p>
        </w:tc>
      </w:tr>
      <w:tr w:rsidR="000573B5" w:rsidRPr="001351F1" w14:paraId="38821AB7" w14:textId="77777777" w:rsidTr="0032697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3F50686" w14:textId="77777777" w:rsidR="000573B5" w:rsidRPr="001351F1" w:rsidRDefault="000573B5" w:rsidP="00326971">
            <w:pPr>
              <w:rPr>
                <w:b w:val="0"/>
                <w:sz w:val="22"/>
                <w:lang w:eastAsia="zh-CN"/>
              </w:rPr>
            </w:pPr>
            <w:r w:rsidRPr="001351F1">
              <w:rPr>
                <w:b w:val="0"/>
                <w:sz w:val="22"/>
                <w:lang w:eastAsia="zh-CN"/>
              </w:rPr>
              <w:t>South Korea</w:t>
            </w:r>
          </w:p>
        </w:tc>
        <w:tc>
          <w:tcPr>
            <w:tcW w:w="0" w:type="auto"/>
            <w:hideMark/>
          </w:tcPr>
          <w:p w14:paraId="4A083911" w14:textId="77777777" w:rsidR="000573B5" w:rsidRPr="001351F1" w:rsidRDefault="000573B5" w:rsidP="00326971">
            <w:pPr>
              <w:cnfStyle w:val="000000000000" w:firstRow="0" w:lastRow="0" w:firstColumn="0" w:lastColumn="0" w:oddVBand="0" w:evenVBand="0" w:oddHBand="0" w:evenHBand="0" w:firstRowFirstColumn="0" w:firstRowLastColumn="0" w:lastRowFirstColumn="0" w:lastRowLastColumn="0"/>
              <w:rPr>
                <w:sz w:val="22"/>
                <w:lang w:eastAsia="zh-CN"/>
              </w:rPr>
            </w:pPr>
            <w:r w:rsidRPr="001351F1">
              <w:rPr>
                <w:sz w:val="22"/>
                <w:lang w:eastAsia="zh-CN"/>
              </w:rPr>
              <w:t>Nil</w:t>
            </w:r>
          </w:p>
        </w:tc>
      </w:tr>
      <w:tr w:rsidR="000573B5" w:rsidRPr="001351F1" w14:paraId="7CEDA1F0" w14:textId="77777777" w:rsidTr="003269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247BAA4" w14:textId="77777777" w:rsidR="000573B5" w:rsidRPr="001351F1" w:rsidRDefault="000573B5" w:rsidP="00326971">
            <w:pPr>
              <w:rPr>
                <w:b w:val="0"/>
                <w:sz w:val="22"/>
                <w:lang w:eastAsia="zh-CN"/>
              </w:rPr>
            </w:pPr>
            <w:r w:rsidRPr="001351F1">
              <w:rPr>
                <w:b w:val="0"/>
                <w:sz w:val="22"/>
                <w:lang w:eastAsia="zh-CN"/>
              </w:rPr>
              <w:t>Fiji</w:t>
            </w:r>
          </w:p>
        </w:tc>
        <w:tc>
          <w:tcPr>
            <w:tcW w:w="0" w:type="auto"/>
            <w:hideMark/>
          </w:tcPr>
          <w:p w14:paraId="44D00F74" w14:textId="77777777" w:rsidR="000573B5" w:rsidRPr="001351F1" w:rsidRDefault="000573B5" w:rsidP="00326971">
            <w:pPr>
              <w:cnfStyle w:val="000000100000" w:firstRow="0" w:lastRow="0" w:firstColumn="0" w:lastColumn="0" w:oddVBand="0" w:evenVBand="0" w:oddHBand="1" w:evenHBand="0" w:firstRowFirstColumn="0" w:firstRowLastColumn="0" w:lastRowFirstColumn="0" w:lastRowLastColumn="0"/>
              <w:rPr>
                <w:sz w:val="22"/>
                <w:lang w:eastAsia="zh-CN"/>
              </w:rPr>
            </w:pPr>
            <w:r w:rsidRPr="001351F1">
              <w:rPr>
                <w:sz w:val="22"/>
                <w:lang w:eastAsia="zh-CN"/>
              </w:rPr>
              <w:t>15%</w:t>
            </w:r>
          </w:p>
        </w:tc>
      </w:tr>
    </w:tbl>
    <w:p w14:paraId="38C28FAD" w14:textId="77777777" w:rsidR="000573B5" w:rsidRPr="000573B5" w:rsidRDefault="000573B5" w:rsidP="00F335EA">
      <w:pPr>
        <w:pStyle w:val="Default"/>
        <w:ind w:left="360"/>
        <w:rPr>
          <w:rFonts w:ascii="Arial" w:hAnsi="Arial" w:cs="Arial"/>
          <w:color w:val="auto"/>
          <w:sz w:val="22"/>
          <w:szCs w:val="22"/>
          <w:lang w:val="en-US"/>
        </w:rPr>
      </w:pPr>
    </w:p>
    <w:p w14:paraId="6E6299CD" w14:textId="77777777" w:rsidR="00411A64" w:rsidRPr="00865957" w:rsidRDefault="00411A64" w:rsidP="00411A64">
      <w:pPr>
        <w:ind w:left="720"/>
        <w:rPr>
          <w:sz w:val="22"/>
          <w:szCs w:val="22"/>
        </w:rPr>
      </w:pPr>
    </w:p>
    <w:p w14:paraId="13C9B2DC" w14:textId="77777777" w:rsidR="00B3371D" w:rsidRDefault="00B3371D" w:rsidP="00B3371D">
      <w:pPr>
        <w:rPr>
          <w:sz w:val="22"/>
          <w:szCs w:val="22"/>
        </w:rPr>
      </w:pPr>
    </w:p>
    <w:p w14:paraId="57B34EF3" w14:textId="5E19F570" w:rsidR="00411A64" w:rsidRPr="00865957" w:rsidRDefault="00411A64" w:rsidP="00B3371D">
      <w:pPr>
        <w:rPr>
          <w:sz w:val="22"/>
          <w:szCs w:val="22"/>
        </w:rPr>
      </w:pPr>
      <w:r w:rsidRPr="00865957">
        <w:rPr>
          <w:sz w:val="22"/>
          <w:szCs w:val="22"/>
        </w:rPr>
        <w:t>Stamp Duty – with different rates</w:t>
      </w:r>
      <w:r w:rsidR="00D67F06">
        <w:rPr>
          <w:sz w:val="22"/>
          <w:szCs w:val="22"/>
        </w:rPr>
        <w:t xml:space="preserve"> but property 5% on amounts over K140,000</w:t>
      </w:r>
      <w:r w:rsidR="00B3371D">
        <w:rPr>
          <w:sz w:val="22"/>
          <w:szCs w:val="22"/>
        </w:rPr>
        <w:t xml:space="preserve">, and 1% on share and stock transfers. </w:t>
      </w:r>
    </w:p>
    <w:p w14:paraId="14E89553" w14:textId="77777777" w:rsidR="00411A64" w:rsidRPr="00865957" w:rsidRDefault="00411A64" w:rsidP="00411A64">
      <w:pPr>
        <w:ind w:left="720"/>
        <w:rPr>
          <w:sz w:val="22"/>
          <w:szCs w:val="22"/>
        </w:rPr>
      </w:pPr>
    </w:p>
    <w:p w14:paraId="39B54AD9" w14:textId="77777777" w:rsidR="00411A64" w:rsidRPr="00865957" w:rsidRDefault="00411A64" w:rsidP="00B3371D">
      <w:pPr>
        <w:rPr>
          <w:sz w:val="22"/>
          <w:szCs w:val="22"/>
        </w:rPr>
      </w:pPr>
      <w:r w:rsidRPr="00865957">
        <w:rPr>
          <w:sz w:val="22"/>
          <w:szCs w:val="22"/>
        </w:rPr>
        <w:t>Customs Duty – Customs is imposed on CIF (Cost insurance and Freight) value of imports at varying rates.</w:t>
      </w:r>
    </w:p>
    <w:p w14:paraId="7B053B6C" w14:textId="77777777" w:rsidR="00411A64" w:rsidRPr="00865957" w:rsidRDefault="00411A64" w:rsidP="00411A64">
      <w:pPr>
        <w:ind w:left="720"/>
        <w:rPr>
          <w:b/>
          <w:sz w:val="22"/>
          <w:szCs w:val="22"/>
        </w:rPr>
      </w:pPr>
    </w:p>
    <w:p w14:paraId="011AC27F" w14:textId="4EB7FD0B" w:rsidR="00411A64" w:rsidRDefault="00411A64" w:rsidP="00B3371D">
      <w:pPr>
        <w:rPr>
          <w:sz w:val="22"/>
          <w:szCs w:val="22"/>
        </w:rPr>
      </w:pPr>
      <w:r w:rsidRPr="00B3371D">
        <w:rPr>
          <w:sz w:val="22"/>
          <w:szCs w:val="22"/>
        </w:rPr>
        <w:t>Transfer Pricing</w:t>
      </w:r>
      <w:r w:rsidR="00B3371D" w:rsidRPr="00B3371D">
        <w:rPr>
          <w:sz w:val="22"/>
          <w:szCs w:val="22"/>
        </w:rPr>
        <w:t xml:space="preserve"> - </w:t>
      </w:r>
      <w:r w:rsidRPr="00B3371D">
        <w:rPr>
          <w:sz w:val="22"/>
          <w:szCs w:val="22"/>
        </w:rPr>
        <w:t xml:space="preserve">Similar to Australia but lack suitable </w:t>
      </w:r>
      <w:r w:rsidR="00B3371D">
        <w:rPr>
          <w:sz w:val="22"/>
          <w:szCs w:val="22"/>
        </w:rPr>
        <w:t xml:space="preserve">system and </w:t>
      </w:r>
      <w:r w:rsidRPr="00B3371D">
        <w:rPr>
          <w:sz w:val="22"/>
          <w:szCs w:val="22"/>
        </w:rPr>
        <w:t>staff to monitor</w:t>
      </w:r>
      <w:r w:rsidR="00B3371D">
        <w:rPr>
          <w:sz w:val="22"/>
          <w:szCs w:val="22"/>
        </w:rPr>
        <w:t>.</w:t>
      </w:r>
    </w:p>
    <w:p w14:paraId="06E34EE1" w14:textId="5955B23A" w:rsidR="00B3371D" w:rsidRDefault="00B3371D" w:rsidP="00B3371D">
      <w:pPr>
        <w:rPr>
          <w:sz w:val="22"/>
          <w:szCs w:val="22"/>
        </w:rPr>
      </w:pPr>
    </w:p>
    <w:p w14:paraId="47A34684" w14:textId="0BCC7124" w:rsidR="00B3371D" w:rsidRPr="00B3371D" w:rsidRDefault="00B3371D" w:rsidP="00B3371D">
      <w:pPr>
        <w:rPr>
          <w:sz w:val="22"/>
          <w:szCs w:val="22"/>
        </w:rPr>
      </w:pPr>
      <w:r>
        <w:rPr>
          <w:sz w:val="22"/>
          <w:szCs w:val="22"/>
        </w:rPr>
        <w:t>Capital Gain Tax – PNG has no Capital Gain Tax in place</w:t>
      </w:r>
      <w:r w:rsidRPr="00B3371D">
        <w:rPr>
          <w:sz w:val="22"/>
          <w:szCs w:val="22"/>
        </w:rPr>
        <w:t>. However, profits arising on the sale of property acquired for the purpose of resale at a profit, or from the carrying out of a profit-making scheme, are fully taxable as ordinary income.</w:t>
      </w:r>
    </w:p>
    <w:p w14:paraId="7AA4275F" w14:textId="77777777" w:rsidR="00411A64" w:rsidRPr="00B3371D" w:rsidRDefault="00411A64" w:rsidP="00411A64">
      <w:pPr>
        <w:ind w:left="720"/>
        <w:rPr>
          <w:sz w:val="22"/>
          <w:szCs w:val="22"/>
        </w:rPr>
      </w:pPr>
    </w:p>
    <w:p w14:paraId="46E2C531" w14:textId="512687FD" w:rsidR="000411E7" w:rsidRDefault="008C4D94" w:rsidP="000411E7">
      <w:pPr>
        <w:rPr>
          <w:sz w:val="22"/>
          <w:szCs w:val="22"/>
        </w:rPr>
      </w:pPr>
      <w:r>
        <w:rPr>
          <w:sz w:val="22"/>
          <w:szCs w:val="22"/>
        </w:rPr>
        <w:t>Lan</w:t>
      </w:r>
      <w:r w:rsidR="00B03916">
        <w:rPr>
          <w:sz w:val="22"/>
          <w:szCs w:val="22"/>
        </w:rPr>
        <w:t>d</w:t>
      </w:r>
      <w:r>
        <w:rPr>
          <w:sz w:val="22"/>
          <w:szCs w:val="22"/>
        </w:rPr>
        <w:t xml:space="preserve"> Tax – The power to levy land tax is vested exclusively with the Provincial Governments. </w:t>
      </w:r>
    </w:p>
    <w:p w14:paraId="4B29B566" w14:textId="1A20D8E2" w:rsidR="005C17F8" w:rsidRDefault="005C17F8" w:rsidP="000411E7">
      <w:pPr>
        <w:rPr>
          <w:sz w:val="22"/>
          <w:szCs w:val="22"/>
        </w:rPr>
      </w:pPr>
    </w:p>
    <w:p w14:paraId="792D0CDF" w14:textId="4FF7AB1D" w:rsidR="005C17F8" w:rsidRDefault="005C17F8" w:rsidP="000411E7">
      <w:pPr>
        <w:rPr>
          <w:sz w:val="22"/>
          <w:szCs w:val="22"/>
        </w:rPr>
      </w:pPr>
      <w:r>
        <w:rPr>
          <w:sz w:val="22"/>
          <w:szCs w:val="22"/>
        </w:rPr>
        <w:t>Tax Credits Transfer – The use of excessive GST credits to offset Salary and Wages Tax payable has been disallowed since 1</w:t>
      </w:r>
      <w:r w:rsidRPr="005C17F8">
        <w:rPr>
          <w:sz w:val="22"/>
          <w:szCs w:val="22"/>
          <w:vertAlign w:val="superscript"/>
        </w:rPr>
        <w:t>st</w:t>
      </w:r>
      <w:r>
        <w:rPr>
          <w:sz w:val="22"/>
          <w:szCs w:val="22"/>
        </w:rPr>
        <w:t xml:space="preserve"> January 2019 as announced in 2019 PNG National Budget.  </w:t>
      </w:r>
    </w:p>
    <w:p w14:paraId="192818EE" w14:textId="32512B38" w:rsidR="00B3371D" w:rsidRDefault="00B3371D" w:rsidP="000411E7">
      <w:pPr>
        <w:rPr>
          <w:sz w:val="22"/>
          <w:szCs w:val="22"/>
        </w:rPr>
      </w:pPr>
    </w:p>
    <w:p w14:paraId="6EF3C521" w14:textId="18DE6F43" w:rsidR="00B3371D" w:rsidRDefault="00B3371D" w:rsidP="000411E7">
      <w:pPr>
        <w:rPr>
          <w:sz w:val="22"/>
          <w:szCs w:val="22"/>
        </w:rPr>
      </w:pPr>
    </w:p>
    <w:p w14:paraId="285F22F3" w14:textId="64CC944D" w:rsidR="00B3371D" w:rsidRDefault="00B3371D" w:rsidP="000411E7">
      <w:pPr>
        <w:rPr>
          <w:sz w:val="22"/>
          <w:szCs w:val="22"/>
        </w:rPr>
      </w:pPr>
    </w:p>
    <w:p w14:paraId="17622784" w14:textId="77777777" w:rsidR="00B3371D" w:rsidRDefault="00B3371D" w:rsidP="000411E7">
      <w:pPr>
        <w:rPr>
          <w:sz w:val="22"/>
          <w:szCs w:val="22"/>
        </w:rPr>
      </w:pPr>
    </w:p>
    <w:p w14:paraId="7BFD08B9" w14:textId="77777777" w:rsidR="00B3371D" w:rsidRDefault="00B3371D" w:rsidP="000411E7">
      <w:pPr>
        <w:rPr>
          <w:sz w:val="22"/>
          <w:szCs w:val="22"/>
        </w:rPr>
      </w:pPr>
    </w:p>
    <w:p w14:paraId="04B3D287" w14:textId="77777777" w:rsidR="000411E7" w:rsidRDefault="000411E7" w:rsidP="000411E7">
      <w:pPr>
        <w:rPr>
          <w:sz w:val="22"/>
          <w:szCs w:val="22"/>
        </w:rPr>
      </w:pPr>
    </w:p>
    <w:p w14:paraId="4D84B7B5" w14:textId="77777777" w:rsidR="00103D1F" w:rsidRDefault="00103D1F" w:rsidP="000411E7">
      <w:pPr>
        <w:rPr>
          <w:sz w:val="22"/>
          <w:szCs w:val="22"/>
        </w:rPr>
      </w:pPr>
    </w:p>
    <w:p w14:paraId="4A1E6F2F" w14:textId="77777777" w:rsidR="00103D1F" w:rsidRDefault="00103D1F" w:rsidP="000411E7">
      <w:pPr>
        <w:rPr>
          <w:sz w:val="22"/>
          <w:szCs w:val="22"/>
        </w:rPr>
      </w:pPr>
    </w:p>
    <w:p w14:paraId="01A043D6" w14:textId="5B25F25C" w:rsidR="00411A64" w:rsidRPr="00865957" w:rsidRDefault="00103D1F" w:rsidP="000411E7">
      <w:pPr>
        <w:rPr>
          <w:sz w:val="22"/>
          <w:szCs w:val="22"/>
        </w:rPr>
      </w:pPr>
      <w:r>
        <w:rPr>
          <w:sz w:val="22"/>
          <w:szCs w:val="22"/>
        </w:rPr>
        <w:t>We hope above has summarised</w:t>
      </w:r>
      <w:r w:rsidR="005C17F8">
        <w:rPr>
          <w:sz w:val="22"/>
          <w:szCs w:val="22"/>
        </w:rPr>
        <w:t xml:space="preserve"> current PNG business and tax issues. However,</w:t>
      </w:r>
      <w:r>
        <w:rPr>
          <w:sz w:val="22"/>
          <w:szCs w:val="22"/>
        </w:rPr>
        <w:t xml:space="preserve"> </w:t>
      </w:r>
      <w:r w:rsidR="005C17F8">
        <w:rPr>
          <w:sz w:val="22"/>
          <w:szCs w:val="22"/>
        </w:rPr>
        <w:t>should</w:t>
      </w:r>
      <w:r w:rsidR="00411A64" w:rsidRPr="00865957">
        <w:rPr>
          <w:sz w:val="22"/>
          <w:szCs w:val="22"/>
        </w:rPr>
        <w:t xml:space="preserve"> you have any queries, please </w:t>
      </w:r>
      <w:r w:rsidR="005C17F8">
        <w:rPr>
          <w:sz w:val="22"/>
          <w:szCs w:val="22"/>
        </w:rPr>
        <w:t xml:space="preserve">do not hesitate to </w:t>
      </w:r>
      <w:r w:rsidR="00411A64" w:rsidRPr="00865957">
        <w:rPr>
          <w:sz w:val="22"/>
          <w:szCs w:val="22"/>
        </w:rPr>
        <w:t>contact us.</w:t>
      </w:r>
    </w:p>
    <w:p w14:paraId="7C572475" w14:textId="77777777" w:rsidR="00411A64" w:rsidRPr="00865957" w:rsidRDefault="00411A64" w:rsidP="00411A64">
      <w:pPr>
        <w:ind w:left="720"/>
        <w:rPr>
          <w:sz w:val="22"/>
          <w:szCs w:val="22"/>
        </w:rPr>
      </w:pPr>
    </w:p>
    <w:p w14:paraId="78EE9934" w14:textId="77777777" w:rsidR="005C17F8" w:rsidRDefault="005C17F8" w:rsidP="00411A64">
      <w:pPr>
        <w:rPr>
          <w:sz w:val="22"/>
          <w:szCs w:val="22"/>
        </w:rPr>
      </w:pPr>
    </w:p>
    <w:p w14:paraId="49FCBF9A" w14:textId="77777777" w:rsidR="005C17F8" w:rsidRDefault="005C17F8" w:rsidP="00411A64">
      <w:pPr>
        <w:rPr>
          <w:sz w:val="22"/>
          <w:szCs w:val="22"/>
        </w:rPr>
      </w:pPr>
    </w:p>
    <w:p w14:paraId="7EB576DC" w14:textId="77777777" w:rsidR="005C17F8" w:rsidRDefault="005C17F8" w:rsidP="00411A64">
      <w:pPr>
        <w:rPr>
          <w:sz w:val="22"/>
          <w:szCs w:val="22"/>
        </w:rPr>
      </w:pPr>
    </w:p>
    <w:p w14:paraId="361E93CB" w14:textId="2720520D" w:rsidR="00411A64" w:rsidRPr="00865957" w:rsidRDefault="00411A64" w:rsidP="00411A64">
      <w:pPr>
        <w:rPr>
          <w:sz w:val="22"/>
          <w:szCs w:val="22"/>
        </w:rPr>
      </w:pPr>
      <w:r w:rsidRPr="00865957">
        <w:rPr>
          <w:sz w:val="22"/>
          <w:szCs w:val="22"/>
        </w:rPr>
        <w:t>Yours faithfully</w:t>
      </w:r>
      <w:r w:rsidR="005C17F8">
        <w:rPr>
          <w:sz w:val="22"/>
          <w:szCs w:val="22"/>
        </w:rPr>
        <w:t>,</w:t>
      </w:r>
    </w:p>
    <w:p w14:paraId="3460B7A0" w14:textId="03368325" w:rsidR="00B3371D" w:rsidRDefault="00B3371D" w:rsidP="00411A64">
      <w:pPr>
        <w:rPr>
          <w:sz w:val="22"/>
          <w:szCs w:val="22"/>
        </w:rPr>
      </w:pPr>
    </w:p>
    <w:p w14:paraId="6A9EF6A7" w14:textId="77777777" w:rsidR="005C17F8" w:rsidRDefault="005C17F8" w:rsidP="00411A64">
      <w:pPr>
        <w:rPr>
          <w:sz w:val="22"/>
          <w:szCs w:val="22"/>
        </w:rPr>
      </w:pPr>
    </w:p>
    <w:p w14:paraId="7CF82208" w14:textId="21A8A4D3" w:rsidR="00B3371D" w:rsidRDefault="005C17F8" w:rsidP="00411A64">
      <w:pPr>
        <w:rPr>
          <w:sz w:val="22"/>
          <w:szCs w:val="22"/>
        </w:rPr>
      </w:pPr>
      <w:r>
        <w:rPr>
          <w:noProof/>
          <w:lang w:eastAsia="en-AU"/>
        </w:rPr>
        <w:drawing>
          <wp:inline distT="0" distB="0" distL="0" distR="0" wp14:anchorId="58490DFD" wp14:editId="5EC33E36">
            <wp:extent cx="1960216" cy="8229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182" cy="829243"/>
                    </a:xfrm>
                    <a:prstGeom prst="rect">
                      <a:avLst/>
                    </a:prstGeom>
                    <a:noFill/>
                    <a:ln>
                      <a:noFill/>
                    </a:ln>
                  </pic:spPr>
                </pic:pic>
              </a:graphicData>
            </a:graphic>
          </wp:inline>
        </w:drawing>
      </w:r>
    </w:p>
    <w:p w14:paraId="42451E2B" w14:textId="77777777" w:rsidR="000411E7" w:rsidRPr="00865957" w:rsidRDefault="000411E7" w:rsidP="00411A64">
      <w:pPr>
        <w:rPr>
          <w:sz w:val="22"/>
          <w:szCs w:val="22"/>
        </w:rPr>
      </w:pPr>
    </w:p>
    <w:p w14:paraId="70A333C8" w14:textId="77777777" w:rsidR="00411A64" w:rsidRPr="00865957" w:rsidRDefault="00411A64" w:rsidP="00411A64">
      <w:pPr>
        <w:rPr>
          <w:sz w:val="22"/>
          <w:szCs w:val="22"/>
        </w:rPr>
      </w:pPr>
    </w:p>
    <w:p w14:paraId="40066988" w14:textId="77777777" w:rsidR="00411A64" w:rsidRPr="00865957" w:rsidRDefault="00411A64" w:rsidP="00411A64">
      <w:pPr>
        <w:rPr>
          <w:b/>
          <w:sz w:val="22"/>
          <w:szCs w:val="22"/>
        </w:rPr>
      </w:pPr>
      <w:r w:rsidRPr="00865957">
        <w:rPr>
          <w:b/>
          <w:sz w:val="22"/>
          <w:szCs w:val="22"/>
        </w:rPr>
        <w:t>MICHAEL MAYBERRY CSM, MBE</w:t>
      </w:r>
    </w:p>
    <w:p w14:paraId="510B5335" w14:textId="77777777" w:rsidR="00411A64" w:rsidRPr="00865957" w:rsidRDefault="00411A64" w:rsidP="00411A64">
      <w:pPr>
        <w:rPr>
          <w:sz w:val="22"/>
          <w:szCs w:val="22"/>
        </w:rPr>
      </w:pPr>
      <w:r w:rsidRPr="00865957">
        <w:rPr>
          <w:sz w:val="22"/>
          <w:szCs w:val="22"/>
        </w:rPr>
        <w:t>Managing Partner</w:t>
      </w:r>
    </w:p>
    <w:p w14:paraId="3A83F910" w14:textId="0112311C" w:rsidR="00411A64" w:rsidRDefault="00411A64" w:rsidP="00411A64">
      <w:pPr>
        <w:rPr>
          <w:sz w:val="22"/>
          <w:szCs w:val="22"/>
        </w:rPr>
      </w:pPr>
    </w:p>
    <w:p w14:paraId="31F2BFD6" w14:textId="48B64537" w:rsidR="00FF5834" w:rsidRDefault="00FF5834" w:rsidP="00411A64">
      <w:pPr>
        <w:rPr>
          <w:sz w:val="22"/>
          <w:szCs w:val="22"/>
        </w:rPr>
      </w:pPr>
    </w:p>
    <w:p w14:paraId="138A3779" w14:textId="387EC8B7" w:rsidR="00FF5834" w:rsidRDefault="00FF5834" w:rsidP="00411A64">
      <w:pPr>
        <w:rPr>
          <w:sz w:val="22"/>
          <w:szCs w:val="22"/>
        </w:rPr>
      </w:pPr>
    </w:p>
    <w:tbl>
      <w:tblPr>
        <w:tblStyle w:val="TableGrid"/>
        <w:tblW w:w="10620" w:type="dxa"/>
        <w:tblLook w:val="04A0" w:firstRow="1" w:lastRow="0" w:firstColumn="1" w:lastColumn="0" w:noHBand="0" w:noVBand="1"/>
      </w:tblPr>
      <w:tblGrid>
        <w:gridCol w:w="2655"/>
        <w:gridCol w:w="2655"/>
        <w:gridCol w:w="2655"/>
        <w:gridCol w:w="2655"/>
      </w:tblGrid>
      <w:tr w:rsidR="00FF5834" w:rsidRPr="00FF5834" w14:paraId="51CF6A24" w14:textId="77777777" w:rsidTr="00FF5834">
        <w:trPr>
          <w:trHeight w:val="683"/>
        </w:trPr>
        <w:tc>
          <w:tcPr>
            <w:tcW w:w="10620" w:type="dxa"/>
            <w:gridSpan w:val="4"/>
            <w:shd w:val="clear" w:color="auto" w:fill="00B050"/>
            <w:vAlign w:val="center"/>
          </w:tcPr>
          <w:p w14:paraId="78182850" w14:textId="1B90E575" w:rsidR="00FF5834" w:rsidRPr="00FF5834" w:rsidRDefault="00FF5834" w:rsidP="00FF5834">
            <w:pPr>
              <w:jc w:val="center"/>
              <w:rPr>
                <w:sz w:val="32"/>
                <w:szCs w:val="22"/>
              </w:rPr>
            </w:pPr>
            <w:bookmarkStart w:id="0" w:name="_GoBack"/>
            <w:r w:rsidRPr="00FF5834">
              <w:rPr>
                <w:sz w:val="36"/>
                <w:szCs w:val="22"/>
              </w:rPr>
              <w:t>Contact Details of DFK Mayberry</w:t>
            </w:r>
            <w:r w:rsidR="00E25175">
              <w:rPr>
                <w:sz w:val="36"/>
                <w:szCs w:val="22"/>
              </w:rPr>
              <w:t>’</w:t>
            </w:r>
            <w:r w:rsidRPr="00FF5834">
              <w:rPr>
                <w:sz w:val="36"/>
                <w:szCs w:val="22"/>
              </w:rPr>
              <w:t>s Senior Management Team</w:t>
            </w:r>
          </w:p>
        </w:tc>
      </w:tr>
      <w:bookmarkEnd w:id="0"/>
      <w:tr w:rsidR="00FF5834" w14:paraId="7E968031" w14:textId="77777777" w:rsidTr="00FF5834">
        <w:trPr>
          <w:trHeight w:val="683"/>
        </w:trPr>
        <w:tc>
          <w:tcPr>
            <w:tcW w:w="2655" w:type="dxa"/>
            <w:vAlign w:val="bottom"/>
          </w:tcPr>
          <w:p w14:paraId="1D27C245" w14:textId="6EB41DAA" w:rsidR="00FF5834" w:rsidRPr="00AC7354" w:rsidRDefault="00FF5834" w:rsidP="00FF5834">
            <w:pPr>
              <w:jc w:val="center"/>
              <w:rPr>
                <w:b/>
                <w:szCs w:val="22"/>
              </w:rPr>
            </w:pPr>
            <w:r w:rsidRPr="00AC7354">
              <w:rPr>
                <w:b/>
                <w:szCs w:val="22"/>
              </w:rPr>
              <w:t>Michael Mayberry</w:t>
            </w:r>
          </w:p>
        </w:tc>
        <w:tc>
          <w:tcPr>
            <w:tcW w:w="2655" w:type="dxa"/>
            <w:vAlign w:val="bottom"/>
          </w:tcPr>
          <w:p w14:paraId="195486B8" w14:textId="20E6A7FB" w:rsidR="00FF5834" w:rsidRPr="00AC7354" w:rsidRDefault="00FF5834" w:rsidP="00FF5834">
            <w:pPr>
              <w:jc w:val="center"/>
              <w:rPr>
                <w:b/>
                <w:szCs w:val="22"/>
              </w:rPr>
            </w:pPr>
            <w:r w:rsidRPr="00AC7354">
              <w:rPr>
                <w:b/>
                <w:szCs w:val="22"/>
              </w:rPr>
              <w:t>Sean McNeill</w:t>
            </w:r>
          </w:p>
        </w:tc>
        <w:tc>
          <w:tcPr>
            <w:tcW w:w="2655" w:type="dxa"/>
            <w:vAlign w:val="bottom"/>
          </w:tcPr>
          <w:p w14:paraId="5AC0F66B" w14:textId="3AA54BAA" w:rsidR="00FF5834" w:rsidRPr="00AC7354" w:rsidRDefault="007B4B70" w:rsidP="00FF5834">
            <w:pPr>
              <w:jc w:val="center"/>
              <w:rPr>
                <w:b/>
                <w:szCs w:val="22"/>
              </w:rPr>
            </w:pPr>
            <w:r w:rsidRPr="00AC7354">
              <w:rPr>
                <w:b/>
                <w:szCs w:val="22"/>
              </w:rPr>
              <w:t>Greg Berry</w:t>
            </w:r>
          </w:p>
        </w:tc>
        <w:tc>
          <w:tcPr>
            <w:tcW w:w="2655" w:type="dxa"/>
            <w:vAlign w:val="bottom"/>
          </w:tcPr>
          <w:p w14:paraId="37BA3BD7" w14:textId="43356495" w:rsidR="00FF5834" w:rsidRPr="00AC7354" w:rsidRDefault="00FF5834" w:rsidP="00FF5834">
            <w:pPr>
              <w:jc w:val="center"/>
              <w:rPr>
                <w:b/>
                <w:szCs w:val="22"/>
              </w:rPr>
            </w:pPr>
            <w:r w:rsidRPr="00AC7354">
              <w:rPr>
                <w:b/>
                <w:szCs w:val="22"/>
              </w:rPr>
              <w:t>Warwick Downs</w:t>
            </w:r>
          </w:p>
        </w:tc>
      </w:tr>
      <w:tr w:rsidR="00FF5834" w14:paraId="4629B9BE" w14:textId="77777777" w:rsidTr="00FF5834">
        <w:trPr>
          <w:trHeight w:val="683"/>
        </w:trPr>
        <w:tc>
          <w:tcPr>
            <w:tcW w:w="2655" w:type="dxa"/>
            <w:vAlign w:val="bottom"/>
          </w:tcPr>
          <w:p w14:paraId="6EC0D6E0" w14:textId="004618DC" w:rsidR="00FF5834" w:rsidRPr="00FF5834" w:rsidRDefault="00FF5834" w:rsidP="00FF5834">
            <w:pPr>
              <w:jc w:val="center"/>
              <w:rPr>
                <w:szCs w:val="22"/>
              </w:rPr>
            </w:pPr>
            <w:r w:rsidRPr="00FF5834">
              <w:rPr>
                <w:szCs w:val="22"/>
              </w:rPr>
              <w:t>+675 320 1988</w:t>
            </w:r>
          </w:p>
        </w:tc>
        <w:tc>
          <w:tcPr>
            <w:tcW w:w="2655" w:type="dxa"/>
            <w:vAlign w:val="bottom"/>
          </w:tcPr>
          <w:p w14:paraId="770051F9" w14:textId="37C59079" w:rsidR="00FF5834" w:rsidRPr="00FF5834" w:rsidRDefault="00FF5834" w:rsidP="00FF5834">
            <w:pPr>
              <w:jc w:val="center"/>
              <w:rPr>
                <w:szCs w:val="22"/>
              </w:rPr>
            </w:pPr>
            <w:r w:rsidRPr="00FF5834">
              <w:rPr>
                <w:szCs w:val="22"/>
              </w:rPr>
              <w:t>+675 320 1988</w:t>
            </w:r>
          </w:p>
        </w:tc>
        <w:tc>
          <w:tcPr>
            <w:tcW w:w="2655" w:type="dxa"/>
            <w:vAlign w:val="bottom"/>
          </w:tcPr>
          <w:p w14:paraId="6255AE5F" w14:textId="231A9C35" w:rsidR="00FF5834" w:rsidRPr="00FF5834" w:rsidRDefault="00FF5834" w:rsidP="007B4B70">
            <w:pPr>
              <w:jc w:val="center"/>
              <w:rPr>
                <w:szCs w:val="22"/>
              </w:rPr>
            </w:pPr>
            <w:r w:rsidRPr="00FF5834">
              <w:rPr>
                <w:szCs w:val="22"/>
              </w:rPr>
              <w:t xml:space="preserve">+675 </w:t>
            </w:r>
            <w:r w:rsidR="007B4B70">
              <w:rPr>
                <w:szCs w:val="22"/>
              </w:rPr>
              <w:t>7212 5985</w:t>
            </w:r>
          </w:p>
        </w:tc>
        <w:tc>
          <w:tcPr>
            <w:tcW w:w="2655" w:type="dxa"/>
            <w:vAlign w:val="bottom"/>
          </w:tcPr>
          <w:p w14:paraId="0C0F6887" w14:textId="2295B45F" w:rsidR="00FF5834" w:rsidRPr="00FF5834" w:rsidRDefault="00FF5834" w:rsidP="00FF5834">
            <w:pPr>
              <w:jc w:val="center"/>
              <w:rPr>
                <w:szCs w:val="22"/>
              </w:rPr>
            </w:pPr>
            <w:r w:rsidRPr="00FF5834">
              <w:rPr>
                <w:szCs w:val="22"/>
              </w:rPr>
              <w:t>+675 320 1988</w:t>
            </w:r>
          </w:p>
        </w:tc>
      </w:tr>
      <w:tr w:rsidR="00FF5834" w14:paraId="7096D71C" w14:textId="77777777" w:rsidTr="00FF5834">
        <w:trPr>
          <w:trHeight w:val="650"/>
        </w:trPr>
        <w:tc>
          <w:tcPr>
            <w:tcW w:w="2655" w:type="dxa"/>
            <w:vAlign w:val="bottom"/>
          </w:tcPr>
          <w:p w14:paraId="49C7786D" w14:textId="46E18F4B" w:rsidR="00FF5834" w:rsidRPr="00FF5834" w:rsidRDefault="00AC7354" w:rsidP="00FF5834">
            <w:pPr>
              <w:jc w:val="center"/>
              <w:rPr>
                <w:szCs w:val="22"/>
              </w:rPr>
            </w:pPr>
            <w:hyperlink r:id="rId11" w:history="1">
              <w:r w:rsidR="00FF5834" w:rsidRPr="00FF5834">
                <w:rPr>
                  <w:rStyle w:val="Hyperlink"/>
                  <w:szCs w:val="22"/>
                </w:rPr>
                <w:t>mjm@dfk.com.pg</w:t>
              </w:r>
            </w:hyperlink>
          </w:p>
        </w:tc>
        <w:tc>
          <w:tcPr>
            <w:tcW w:w="2655" w:type="dxa"/>
            <w:vAlign w:val="bottom"/>
          </w:tcPr>
          <w:p w14:paraId="0463D59A" w14:textId="6E09706A" w:rsidR="00FF5834" w:rsidRPr="00FF5834" w:rsidRDefault="00FF5834" w:rsidP="00FF5834">
            <w:pPr>
              <w:jc w:val="center"/>
              <w:rPr>
                <w:szCs w:val="22"/>
              </w:rPr>
            </w:pPr>
            <w:r w:rsidRPr="00FF5834">
              <w:rPr>
                <w:rStyle w:val="Hyperlink"/>
                <w:szCs w:val="22"/>
              </w:rPr>
              <w:t>smcneill@dfk.com.pg</w:t>
            </w:r>
          </w:p>
        </w:tc>
        <w:tc>
          <w:tcPr>
            <w:tcW w:w="2655" w:type="dxa"/>
            <w:vAlign w:val="bottom"/>
          </w:tcPr>
          <w:p w14:paraId="113EC3B3" w14:textId="77777777" w:rsidR="00FF5834" w:rsidRPr="00FF5834" w:rsidRDefault="00FF5834" w:rsidP="00FF5834">
            <w:pPr>
              <w:jc w:val="center"/>
              <w:rPr>
                <w:szCs w:val="22"/>
              </w:rPr>
            </w:pPr>
          </w:p>
          <w:p w14:paraId="05062CEC" w14:textId="7F127D8F" w:rsidR="00FF5834" w:rsidRPr="00FF5834" w:rsidRDefault="007B4B70" w:rsidP="007B4B70">
            <w:pPr>
              <w:jc w:val="center"/>
              <w:rPr>
                <w:szCs w:val="22"/>
              </w:rPr>
            </w:pPr>
            <w:hyperlink r:id="rId12" w:history="1">
              <w:r w:rsidRPr="00BD7DF5">
                <w:rPr>
                  <w:rStyle w:val="Hyperlink"/>
                  <w:szCs w:val="22"/>
                </w:rPr>
                <w:t>gberry@dfk.com.pg</w:t>
              </w:r>
            </w:hyperlink>
          </w:p>
        </w:tc>
        <w:tc>
          <w:tcPr>
            <w:tcW w:w="2655" w:type="dxa"/>
            <w:vAlign w:val="bottom"/>
          </w:tcPr>
          <w:p w14:paraId="58F60125" w14:textId="41D35D84" w:rsidR="00FF5834" w:rsidRPr="00FF5834" w:rsidRDefault="00FF5834" w:rsidP="00FF5834">
            <w:pPr>
              <w:jc w:val="center"/>
              <w:rPr>
                <w:rStyle w:val="Hyperlink"/>
              </w:rPr>
            </w:pPr>
            <w:r w:rsidRPr="00FF5834">
              <w:rPr>
                <w:rStyle w:val="Hyperlink"/>
              </w:rPr>
              <w:t>wdowns@dfk.com.pg</w:t>
            </w:r>
          </w:p>
        </w:tc>
      </w:tr>
    </w:tbl>
    <w:p w14:paraId="72E6F150" w14:textId="77777777" w:rsidR="00FF5834" w:rsidRPr="00865957" w:rsidRDefault="00FF5834" w:rsidP="00411A64">
      <w:pPr>
        <w:rPr>
          <w:sz w:val="22"/>
          <w:szCs w:val="22"/>
        </w:rPr>
      </w:pPr>
    </w:p>
    <w:sectPr w:rsidR="00FF5834" w:rsidRPr="00865957" w:rsidSect="00865957">
      <w:footerReference w:type="default" r:id="rId13"/>
      <w:pgSz w:w="11906" w:h="16838" w:code="9"/>
      <w:pgMar w:top="720" w:right="720" w:bottom="720" w:left="720" w:header="720" w:footer="272" w:gutter="0"/>
      <w:paperSrc w:first="91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9CFBF" w14:textId="77777777" w:rsidR="00EE156A" w:rsidRDefault="00EE156A">
      <w:r>
        <w:separator/>
      </w:r>
    </w:p>
  </w:endnote>
  <w:endnote w:type="continuationSeparator" w:id="0">
    <w:p w14:paraId="2F67F763" w14:textId="77777777" w:rsidR="00EE156A" w:rsidRDefault="00EE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55043" w14:textId="77777777" w:rsidR="00041C30" w:rsidRPr="00AB772D" w:rsidRDefault="00DF0258" w:rsidP="000C55C0">
    <w:pPr>
      <w:jc w:val="center"/>
      <w:rPr>
        <w:sz w:val="16"/>
        <w:szCs w:val="16"/>
      </w:rPr>
    </w:pPr>
    <w:proofErr w:type="spellStart"/>
    <w:r w:rsidRPr="00AB772D">
      <w:rPr>
        <w:b/>
        <w:sz w:val="16"/>
        <w:szCs w:val="16"/>
      </w:rPr>
      <w:t>Rabaul</w:t>
    </w:r>
    <w:proofErr w:type="spellEnd"/>
    <w:r w:rsidRPr="00AB772D">
      <w:rPr>
        <w:b/>
        <w:sz w:val="16"/>
        <w:szCs w:val="16"/>
      </w:rPr>
      <w:t xml:space="preserve">: </w:t>
    </w:r>
    <w:r w:rsidRPr="00AB772D">
      <w:rPr>
        <w:sz w:val="16"/>
        <w:szCs w:val="16"/>
      </w:rPr>
      <w:t xml:space="preserve">   PO Box 1595, Kokopo, ENBP, Papua New Guinea.   Ph:  (675) 774 04978    Fax:  (675) 982-9113</w:t>
    </w:r>
  </w:p>
  <w:p w14:paraId="51350975" w14:textId="77777777" w:rsidR="00041C30" w:rsidRDefault="00AC7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65BAD" w14:textId="77777777" w:rsidR="00EE156A" w:rsidRDefault="00EE156A">
      <w:r>
        <w:separator/>
      </w:r>
    </w:p>
  </w:footnote>
  <w:footnote w:type="continuationSeparator" w:id="0">
    <w:p w14:paraId="281ACDB2" w14:textId="77777777" w:rsidR="00EE156A" w:rsidRDefault="00EE1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820"/>
    <w:multiLevelType w:val="hybridMultilevel"/>
    <w:tmpl w:val="D096C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3350C9"/>
    <w:multiLevelType w:val="hybridMultilevel"/>
    <w:tmpl w:val="537299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9120BD"/>
    <w:multiLevelType w:val="hybridMultilevel"/>
    <w:tmpl w:val="8EB6644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FBB2691"/>
    <w:multiLevelType w:val="hybridMultilevel"/>
    <w:tmpl w:val="8E560C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D934723"/>
    <w:multiLevelType w:val="hybridMultilevel"/>
    <w:tmpl w:val="9C0CD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A247C"/>
    <w:multiLevelType w:val="hybridMultilevel"/>
    <w:tmpl w:val="E02E02D8"/>
    <w:lvl w:ilvl="0" w:tplc="B4F486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8483C"/>
    <w:multiLevelType w:val="hybridMultilevel"/>
    <w:tmpl w:val="86A605D0"/>
    <w:lvl w:ilvl="0" w:tplc="1B9A4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20AC4"/>
    <w:multiLevelType w:val="multilevel"/>
    <w:tmpl w:val="D08ADF08"/>
    <w:lvl w:ilvl="0">
      <w:start w:val="1"/>
      <w:numFmt w:val="decimal"/>
      <w:lvlText w:val="%1."/>
      <w:lvlJc w:val="left"/>
      <w:pPr>
        <w:tabs>
          <w:tab w:val="num" w:pos="720"/>
        </w:tabs>
        <w:ind w:left="720" w:hanging="360"/>
      </w:pPr>
      <w:rPr>
        <w:rFonts w:ascii="Arial" w:eastAsia="Times New Roman" w:hAnsi="Arial" w:cs="Arial"/>
        <w:b w:val="0"/>
      </w:rPr>
    </w:lvl>
    <w:lvl w:ilvl="1">
      <w:start w:val="3"/>
      <w:numFmt w:val="decimal"/>
      <w:lvlText w:val="%2)"/>
      <w:lvlJc w:val="left"/>
      <w:pPr>
        <w:ind w:left="1440" w:hanging="360"/>
      </w:pPr>
      <w:rPr>
        <w:rFonts w:hint="default"/>
      </w:rPr>
    </w:lvl>
    <w:lvl w:ilvl="2">
      <w:start w:val="2"/>
      <w:numFmt w:val="lowerLetter"/>
      <w:lvlText w:val="(%3)"/>
      <w:lvlJc w:val="left"/>
      <w:pPr>
        <w:ind w:left="423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7139E3"/>
    <w:multiLevelType w:val="hybridMultilevel"/>
    <w:tmpl w:val="76BA577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13037C"/>
    <w:multiLevelType w:val="hybridMultilevel"/>
    <w:tmpl w:val="AFF27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93CCC"/>
    <w:multiLevelType w:val="hybridMultilevel"/>
    <w:tmpl w:val="F77C1752"/>
    <w:lvl w:ilvl="0" w:tplc="D034C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45D45"/>
    <w:multiLevelType w:val="hybridMultilevel"/>
    <w:tmpl w:val="075E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907729"/>
    <w:multiLevelType w:val="hybridMultilevel"/>
    <w:tmpl w:val="A57648A0"/>
    <w:lvl w:ilvl="0" w:tplc="6BD40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52392D"/>
    <w:multiLevelType w:val="hybridMultilevel"/>
    <w:tmpl w:val="6B9CBF0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6BEF75B7"/>
    <w:multiLevelType w:val="hybridMultilevel"/>
    <w:tmpl w:val="4112CED4"/>
    <w:lvl w:ilvl="0" w:tplc="4B846A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6"/>
  </w:num>
  <w:num w:numId="5">
    <w:abstractNumId w:val="10"/>
  </w:num>
  <w:num w:numId="6">
    <w:abstractNumId w:val="5"/>
  </w:num>
  <w:num w:numId="7">
    <w:abstractNumId w:val="12"/>
  </w:num>
  <w:num w:numId="8">
    <w:abstractNumId w:val="14"/>
  </w:num>
  <w:num w:numId="9">
    <w:abstractNumId w:val="4"/>
  </w:num>
  <w:num w:numId="10">
    <w:abstractNumId w:val="8"/>
  </w:num>
  <w:num w:numId="11">
    <w:abstractNumId w:val="13"/>
  </w:num>
  <w:num w:numId="12">
    <w:abstractNumId w:val="2"/>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64"/>
    <w:rsid w:val="000411E7"/>
    <w:rsid w:val="000573B5"/>
    <w:rsid w:val="00103D1F"/>
    <w:rsid w:val="001351F1"/>
    <w:rsid w:val="001512D9"/>
    <w:rsid w:val="001824BA"/>
    <w:rsid w:val="002C554F"/>
    <w:rsid w:val="004039EF"/>
    <w:rsid w:val="00411A64"/>
    <w:rsid w:val="0042061D"/>
    <w:rsid w:val="004C1ADC"/>
    <w:rsid w:val="004C63B9"/>
    <w:rsid w:val="005B170A"/>
    <w:rsid w:val="005C1635"/>
    <w:rsid w:val="005C17F8"/>
    <w:rsid w:val="005F3A5C"/>
    <w:rsid w:val="006420C0"/>
    <w:rsid w:val="00652B28"/>
    <w:rsid w:val="006A25B6"/>
    <w:rsid w:val="006E6BBB"/>
    <w:rsid w:val="00704844"/>
    <w:rsid w:val="007B4B70"/>
    <w:rsid w:val="007C1208"/>
    <w:rsid w:val="00865957"/>
    <w:rsid w:val="008C40FB"/>
    <w:rsid w:val="008C4D94"/>
    <w:rsid w:val="008E3D07"/>
    <w:rsid w:val="00934E5E"/>
    <w:rsid w:val="00941B97"/>
    <w:rsid w:val="00951438"/>
    <w:rsid w:val="00AC7354"/>
    <w:rsid w:val="00B03916"/>
    <w:rsid w:val="00B3371D"/>
    <w:rsid w:val="00B3604B"/>
    <w:rsid w:val="00B43C6D"/>
    <w:rsid w:val="00D60E1B"/>
    <w:rsid w:val="00D626A5"/>
    <w:rsid w:val="00D67F06"/>
    <w:rsid w:val="00DB5967"/>
    <w:rsid w:val="00DF0258"/>
    <w:rsid w:val="00E07340"/>
    <w:rsid w:val="00E25175"/>
    <w:rsid w:val="00EE156A"/>
    <w:rsid w:val="00F13D2E"/>
    <w:rsid w:val="00F335EA"/>
    <w:rsid w:val="00F655D8"/>
    <w:rsid w:val="00FE1A97"/>
    <w:rsid w:val="00FF58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FF1EB21"/>
  <w15:chartTrackingRefBased/>
  <w15:docId w15:val="{CD600859-AD20-47D6-9570-5FFC0199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64"/>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5C1635"/>
    <w:pPr>
      <w:spacing w:before="100" w:beforeAutospacing="1" w:after="100" w:afterAutospacing="1"/>
      <w:outlineLvl w:val="1"/>
    </w:pPr>
    <w:rPr>
      <w:rFonts w:ascii="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1A64"/>
    <w:pPr>
      <w:tabs>
        <w:tab w:val="center" w:pos="4153"/>
        <w:tab w:val="right" w:pos="8306"/>
      </w:tabs>
    </w:pPr>
  </w:style>
  <w:style w:type="character" w:customStyle="1" w:styleId="FooterChar">
    <w:name w:val="Footer Char"/>
    <w:basedOn w:val="DefaultParagraphFont"/>
    <w:link w:val="Footer"/>
    <w:rsid w:val="00411A64"/>
    <w:rPr>
      <w:rFonts w:ascii="Arial" w:eastAsia="Times New Roman" w:hAnsi="Arial" w:cs="Arial"/>
      <w:sz w:val="24"/>
      <w:szCs w:val="24"/>
    </w:rPr>
  </w:style>
  <w:style w:type="paragraph" w:styleId="ListParagraph">
    <w:name w:val="List Paragraph"/>
    <w:basedOn w:val="Normal"/>
    <w:uiPriority w:val="34"/>
    <w:qFormat/>
    <w:rsid w:val="00411A64"/>
    <w:pPr>
      <w:spacing w:after="200" w:line="276"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411A64"/>
    <w:rPr>
      <w:color w:val="0563C1" w:themeColor="hyperlink"/>
      <w:u w:val="single"/>
    </w:rPr>
  </w:style>
  <w:style w:type="paragraph" w:styleId="BalloonText">
    <w:name w:val="Balloon Text"/>
    <w:basedOn w:val="Normal"/>
    <w:link w:val="BalloonTextChar"/>
    <w:uiPriority w:val="99"/>
    <w:semiHidden/>
    <w:unhideWhenUsed/>
    <w:rsid w:val="00704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44"/>
    <w:rPr>
      <w:rFonts w:ascii="Segoe UI" w:eastAsia="Times New Roman" w:hAnsi="Segoe UI" w:cs="Segoe UI"/>
      <w:sz w:val="18"/>
      <w:szCs w:val="18"/>
    </w:rPr>
  </w:style>
  <w:style w:type="character" w:styleId="Strong">
    <w:name w:val="Strong"/>
    <w:basedOn w:val="DefaultParagraphFont"/>
    <w:uiPriority w:val="22"/>
    <w:qFormat/>
    <w:rsid w:val="001351F1"/>
    <w:rPr>
      <w:b/>
      <w:bCs/>
    </w:rPr>
  </w:style>
  <w:style w:type="table" w:styleId="TableGridLight">
    <w:name w:val="Grid Table Light"/>
    <w:basedOn w:val="TableNormal"/>
    <w:uiPriority w:val="40"/>
    <w:rsid w:val="001351F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1351F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FE1A97"/>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FE1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C1635"/>
    <w:rPr>
      <w:rFonts w:ascii="Times New Roman" w:eastAsia="Times New Roman" w:hAnsi="Times New Roman" w:cs="Times New Roman"/>
      <w:b/>
      <w:bCs/>
      <w:sz w:val="36"/>
      <w:szCs w:val="36"/>
      <w:lang w:eastAsia="zh-CN"/>
    </w:rPr>
  </w:style>
  <w:style w:type="character" w:customStyle="1" w:styleId="obgcapsstart">
    <w:name w:val="obg_caps_start"/>
    <w:basedOn w:val="DefaultParagraphFont"/>
    <w:rsid w:val="005C1635"/>
  </w:style>
  <w:style w:type="paragraph" w:customStyle="1" w:styleId="obgpara">
    <w:name w:val="obg_para"/>
    <w:basedOn w:val="Normal"/>
    <w:rsid w:val="005C1635"/>
    <w:pPr>
      <w:spacing w:before="100" w:beforeAutospacing="1" w:after="100" w:afterAutospacing="1"/>
    </w:pPr>
    <w:rPr>
      <w:rFonts w:ascii="Times New Roman" w:hAnsi="Times New Roman" w:cs="Times New Roman"/>
      <w:lang w:eastAsia="zh-CN"/>
    </w:rPr>
  </w:style>
  <w:style w:type="character" w:customStyle="1" w:styleId="UnresolvedMention">
    <w:name w:val="Unresolved Mention"/>
    <w:basedOn w:val="DefaultParagraphFont"/>
    <w:uiPriority w:val="99"/>
    <w:semiHidden/>
    <w:unhideWhenUsed/>
    <w:rsid w:val="00FF5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76221">
      <w:bodyDiv w:val="1"/>
      <w:marLeft w:val="0"/>
      <w:marRight w:val="0"/>
      <w:marTop w:val="0"/>
      <w:marBottom w:val="0"/>
      <w:divBdr>
        <w:top w:val="none" w:sz="0" w:space="0" w:color="auto"/>
        <w:left w:val="none" w:sz="0" w:space="0" w:color="auto"/>
        <w:bottom w:val="none" w:sz="0" w:space="0" w:color="auto"/>
        <w:right w:val="none" w:sz="0" w:space="0" w:color="auto"/>
      </w:divBdr>
    </w:div>
    <w:div w:id="1265066403">
      <w:bodyDiv w:val="1"/>
      <w:marLeft w:val="0"/>
      <w:marRight w:val="0"/>
      <w:marTop w:val="0"/>
      <w:marBottom w:val="0"/>
      <w:divBdr>
        <w:top w:val="none" w:sz="0" w:space="0" w:color="auto"/>
        <w:left w:val="none" w:sz="0" w:space="0" w:color="auto"/>
        <w:bottom w:val="none" w:sz="0" w:space="0" w:color="auto"/>
        <w:right w:val="none" w:sz="0" w:space="0" w:color="auto"/>
      </w:divBdr>
    </w:div>
    <w:div w:id="13211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berry@dfk.com.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m@dfk.com.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2635B-255E-4F2A-ABB1-F4F0D102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I'Nayah NB Peni</dc:creator>
  <cp:keywords/>
  <dc:description/>
  <cp:lastModifiedBy>Greg Berry</cp:lastModifiedBy>
  <cp:revision>5</cp:revision>
  <cp:lastPrinted>2019-03-05T14:22:00Z</cp:lastPrinted>
  <dcterms:created xsi:type="dcterms:W3CDTF">2019-03-14T03:54:00Z</dcterms:created>
  <dcterms:modified xsi:type="dcterms:W3CDTF">2019-03-14T04:52:00Z</dcterms:modified>
</cp:coreProperties>
</file>